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2C" w:rsidRPr="009630A4" w:rsidRDefault="00C77FA5" w:rsidP="009630A4">
      <w:pPr>
        <w:pStyle w:val="Heading1"/>
        <w:rPr>
          <w:w w:val="105"/>
          <w:sz w:val="28"/>
          <w:szCs w:val="28"/>
        </w:rPr>
      </w:pPr>
      <w:r w:rsidRPr="009630A4">
        <w:rPr>
          <w:w w:val="105"/>
          <w:sz w:val="28"/>
          <w:szCs w:val="28"/>
        </w:rPr>
        <w:t>AP</w:t>
      </w:r>
      <w:bookmarkStart w:id="0" w:name="_GoBack"/>
      <w:bookmarkEnd w:id="0"/>
      <w:r w:rsidRPr="009630A4">
        <w:rPr>
          <w:w w:val="105"/>
          <w:sz w:val="28"/>
          <w:szCs w:val="28"/>
        </w:rPr>
        <w:t xml:space="preserve">PENDIX </w:t>
      </w:r>
      <w:r w:rsidR="005D66AD" w:rsidRPr="009630A4">
        <w:rPr>
          <w:w w:val="105"/>
          <w:sz w:val="28"/>
          <w:szCs w:val="28"/>
        </w:rPr>
        <w:t>4</w:t>
      </w:r>
      <w:r w:rsidRPr="009630A4">
        <w:rPr>
          <w:w w:val="105"/>
          <w:sz w:val="28"/>
          <w:szCs w:val="28"/>
        </w:rPr>
        <w:t xml:space="preserve"> </w:t>
      </w:r>
      <w:r w:rsidR="005D66AD" w:rsidRPr="009630A4">
        <w:rPr>
          <w:w w:val="105"/>
          <w:sz w:val="28"/>
          <w:szCs w:val="28"/>
        </w:rPr>
        <w:t>–</w:t>
      </w:r>
      <w:r w:rsidR="00CF292C" w:rsidRPr="009630A4">
        <w:rPr>
          <w:w w:val="105"/>
          <w:sz w:val="28"/>
          <w:szCs w:val="28"/>
        </w:rPr>
        <w:t xml:space="preserve"> </w:t>
      </w:r>
      <w:r w:rsidR="00674C15" w:rsidRPr="009630A4">
        <w:rPr>
          <w:w w:val="105"/>
          <w:sz w:val="28"/>
          <w:szCs w:val="28"/>
        </w:rPr>
        <w:t xml:space="preserve">The </w:t>
      </w:r>
      <w:r w:rsidRPr="009630A4">
        <w:rPr>
          <w:w w:val="105"/>
          <w:sz w:val="28"/>
          <w:szCs w:val="28"/>
        </w:rPr>
        <w:t xml:space="preserve">WORKFORCE </w:t>
      </w:r>
      <w:r w:rsidR="001823D8" w:rsidRPr="009630A4">
        <w:rPr>
          <w:w w:val="105"/>
          <w:sz w:val="28"/>
          <w:szCs w:val="28"/>
        </w:rPr>
        <w:t xml:space="preserve">DISABILITY </w:t>
      </w:r>
      <w:r w:rsidRPr="009630A4">
        <w:rPr>
          <w:w w:val="105"/>
          <w:sz w:val="28"/>
          <w:szCs w:val="28"/>
        </w:rPr>
        <w:t>EQUALITY STANDARD (W</w:t>
      </w:r>
      <w:r w:rsidR="001823D8" w:rsidRPr="009630A4">
        <w:rPr>
          <w:w w:val="105"/>
          <w:sz w:val="28"/>
          <w:szCs w:val="28"/>
        </w:rPr>
        <w:t>D</w:t>
      </w:r>
      <w:r w:rsidRPr="009630A4">
        <w:rPr>
          <w:w w:val="105"/>
          <w:sz w:val="28"/>
          <w:szCs w:val="28"/>
        </w:rPr>
        <w:t xml:space="preserve">ES) </w:t>
      </w:r>
    </w:p>
    <w:p w:rsidR="009630A4" w:rsidRDefault="009630A4" w:rsidP="00C579F1">
      <w:pPr>
        <w:rPr>
          <w:rFonts w:ascii="Arial" w:hAnsi="Arial" w:cs="Arial"/>
          <w:b/>
          <w:w w:val="105"/>
          <w:sz w:val="24"/>
          <w:szCs w:val="24"/>
        </w:rPr>
      </w:pPr>
    </w:p>
    <w:p w:rsidR="00C77FA5" w:rsidRPr="00F46EE4" w:rsidRDefault="00C77FA5" w:rsidP="00C579F1">
      <w:pPr>
        <w:rPr>
          <w:rFonts w:ascii="Arial" w:hAnsi="Arial" w:cs="Arial"/>
          <w:b/>
          <w:w w:val="105"/>
          <w:sz w:val="24"/>
          <w:szCs w:val="24"/>
        </w:rPr>
      </w:pPr>
      <w:r w:rsidRPr="00F46EE4">
        <w:rPr>
          <w:rFonts w:ascii="Arial" w:hAnsi="Arial" w:cs="Arial"/>
          <w:b/>
          <w:w w:val="105"/>
          <w:sz w:val="24"/>
          <w:szCs w:val="24"/>
        </w:rPr>
        <w:t>Purpose of the National W</w:t>
      </w:r>
      <w:r w:rsidR="001823D8">
        <w:rPr>
          <w:rFonts w:ascii="Arial" w:hAnsi="Arial" w:cs="Arial"/>
          <w:b/>
          <w:w w:val="105"/>
          <w:sz w:val="24"/>
          <w:szCs w:val="24"/>
        </w:rPr>
        <w:t>D</w:t>
      </w:r>
      <w:r w:rsidRPr="00F46EE4">
        <w:rPr>
          <w:rFonts w:ascii="Arial" w:hAnsi="Arial" w:cs="Arial"/>
          <w:b/>
          <w:w w:val="105"/>
          <w:sz w:val="24"/>
          <w:szCs w:val="24"/>
        </w:rPr>
        <w:t xml:space="preserve">ES </w:t>
      </w:r>
    </w:p>
    <w:p w:rsidR="00D12178" w:rsidRPr="00A2130D" w:rsidRDefault="00FA128C" w:rsidP="00C579F1">
      <w:pPr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Following the success of the </w:t>
      </w:r>
      <w:r w:rsidRPr="00A2130D">
        <w:rPr>
          <w:rFonts w:ascii="Arial" w:hAnsi="Arial" w:cs="Arial"/>
          <w:w w:val="105"/>
          <w:sz w:val="24"/>
          <w:szCs w:val="24"/>
        </w:rPr>
        <w:t xml:space="preserve">Workforce Race Equality Standard </w:t>
      </w:r>
      <w:r w:rsidRPr="00FA128C">
        <w:rPr>
          <w:rFonts w:ascii="Arial" w:hAnsi="Arial" w:cs="Arial"/>
          <w:b/>
          <w:w w:val="105"/>
          <w:sz w:val="24"/>
          <w:szCs w:val="24"/>
        </w:rPr>
        <w:t>WRES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A2130D">
        <w:rPr>
          <w:rFonts w:ascii="Arial" w:hAnsi="Arial" w:cs="Arial"/>
          <w:w w:val="105"/>
          <w:sz w:val="24"/>
          <w:szCs w:val="24"/>
        </w:rPr>
        <w:t xml:space="preserve">launched in 2015 (see </w:t>
      </w:r>
      <w:r w:rsidRPr="00A2130D">
        <w:rPr>
          <w:rFonts w:ascii="Arial" w:hAnsi="Arial" w:cs="Arial"/>
          <w:b/>
          <w:w w:val="105"/>
          <w:sz w:val="24"/>
          <w:szCs w:val="24"/>
        </w:rPr>
        <w:t>Appendix 3)</w:t>
      </w:r>
      <w:r>
        <w:rPr>
          <w:rFonts w:ascii="Arial" w:hAnsi="Arial" w:cs="Arial"/>
          <w:b/>
          <w:w w:val="105"/>
          <w:sz w:val="24"/>
          <w:szCs w:val="24"/>
        </w:rPr>
        <w:t xml:space="preserve">, </w:t>
      </w:r>
      <w:r>
        <w:rPr>
          <w:rFonts w:ascii="Arial" w:hAnsi="Arial" w:cs="Arial"/>
          <w:w w:val="105"/>
          <w:sz w:val="24"/>
          <w:szCs w:val="24"/>
        </w:rPr>
        <w:t>t</w:t>
      </w:r>
      <w:r w:rsidR="001823D8" w:rsidRPr="00A2130D">
        <w:rPr>
          <w:rFonts w:ascii="Arial" w:hAnsi="Arial" w:cs="Arial"/>
          <w:w w:val="105"/>
          <w:sz w:val="24"/>
          <w:szCs w:val="24"/>
        </w:rPr>
        <w:t xml:space="preserve">he </w:t>
      </w:r>
      <w:r w:rsidR="001823D8" w:rsidRPr="00FA128C">
        <w:rPr>
          <w:rFonts w:ascii="Arial" w:hAnsi="Arial" w:cs="Arial"/>
          <w:b/>
          <w:w w:val="105"/>
          <w:sz w:val="24"/>
          <w:szCs w:val="24"/>
        </w:rPr>
        <w:t>Workforce Disability Equality Standard</w:t>
      </w:r>
      <w:r w:rsidR="001823D8" w:rsidRPr="00A2130D">
        <w:rPr>
          <w:rFonts w:ascii="Arial" w:hAnsi="Arial" w:cs="Arial"/>
          <w:w w:val="105"/>
          <w:sz w:val="24"/>
          <w:szCs w:val="24"/>
        </w:rPr>
        <w:t xml:space="preserve"> </w:t>
      </w:r>
      <w:r w:rsidR="001823D8" w:rsidRPr="00FA128C">
        <w:rPr>
          <w:rFonts w:ascii="Arial" w:hAnsi="Arial" w:cs="Arial"/>
          <w:b/>
          <w:w w:val="105"/>
          <w:sz w:val="24"/>
          <w:szCs w:val="24"/>
        </w:rPr>
        <w:t>WDES</w:t>
      </w:r>
      <w:r w:rsidR="001823D8" w:rsidRPr="00A2130D">
        <w:rPr>
          <w:rFonts w:ascii="Arial" w:hAnsi="Arial" w:cs="Arial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 xml:space="preserve">was applied </w:t>
      </w:r>
      <w:r w:rsidRPr="00A2130D">
        <w:rPr>
          <w:rFonts w:ascii="Arial" w:hAnsi="Arial" w:cs="Arial"/>
          <w:sz w:val="24"/>
          <w:szCs w:val="24"/>
        </w:rPr>
        <w:t xml:space="preserve">to </w:t>
      </w:r>
      <w:r w:rsidRPr="00A2130D">
        <w:rPr>
          <w:rFonts w:ascii="Arial" w:hAnsi="Arial" w:cs="Arial"/>
          <w:spacing w:val="-4"/>
          <w:sz w:val="24"/>
          <w:szCs w:val="24"/>
        </w:rPr>
        <w:t xml:space="preserve">all </w:t>
      </w:r>
      <w:r w:rsidRPr="00A2130D">
        <w:rPr>
          <w:rFonts w:ascii="Arial" w:hAnsi="Arial" w:cs="Arial"/>
          <w:spacing w:val="-10"/>
          <w:sz w:val="24"/>
          <w:szCs w:val="24"/>
        </w:rPr>
        <w:t xml:space="preserve">NHS </w:t>
      </w:r>
      <w:r w:rsidRPr="00A2130D">
        <w:rPr>
          <w:rFonts w:ascii="Arial" w:hAnsi="Arial" w:cs="Arial"/>
          <w:sz w:val="24"/>
          <w:szCs w:val="24"/>
        </w:rPr>
        <w:t xml:space="preserve">Trusts </w:t>
      </w:r>
      <w:r w:rsidRPr="00A2130D">
        <w:rPr>
          <w:rFonts w:ascii="Arial" w:hAnsi="Arial" w:cs="Arial"/>
          <w:spacing w:val="-3"/>
          <w:sz w:val="24"/>
          <w:szCs w:val="24"/>
        </w:rPr>
        <w:t xml:space="preserve">from </w:t>
      </w:r>
      <w:r w:rsidRPr="00A2130D">
        <w:rPr>
          <w:rFonts w:ascii="Arial" w:hAnsi="Arial" w:cs="Arial"/>
          <w:spacing w:val="-6"/>
          <w:sz w:val="24"/>
          <w:szCs w:val="24"/>
        </w:rPr>
        <w:t xml:space="preserve">April </w:t>
      </w:r>
      <w:r w:rsidRPr="00A2130D">
        <w:rPr>
          <w:rFonts w:ascii="Arial" w:hAnsi="Arial" w:cs="Arial"/>
          <w:spacing w:val="-5"/>
          <w:sz w:val="24"/>
          <w:szCs w:val="24"/>
        </w:rPr>
        <w:t>2019</w:t>
      </w:r>
      <w:r>
        <w:rPr>
          <w:rFonts w:ascii="Arial" w:hAnsi="Arial" w:cs="Arial"/>
          <w:spacing w:val="-5"/>
          <w:sz w:val="24"/>
          <w:szCs w:val="24"/>
        </w:rPr>
        <w:t xml:space="preserve">. Both Standards are mandated </w:t>
      </w:r>
      <w:r w:rsidR="00A2130D" w:rsidRPr="00A2130D">
        <w:rPr>
          <w:rFonts w:ascii="Arial" w:hAnsi="Arial" w:cs="Arial"/>
          <w:spacing w:val="-3"/>
          <w:sz w:val="24"/>
          <w:szCs w:val="24"/>
        </w:rPr>
        <w:t xml:space="preserve">by the </w:t>
      </w:r>
      <w:r w:rsidR="00A2130D" w:rsidRPr="00A2130D">
        <w:rPr>
          <w:rFonts w:ascii="Arial" w:hAnsi="Arial" w:cs="Arial"/>
          <w:spacing w:val="-10"/>
          <w:sz w:val="24"/>
          <w:szCs w:val="24"/>
        </w:rPr>
        <w:t xml:space="preserve">NHS </w:t>
      </w:r>
      <w:r w:rsidR="00A2130D" w:rsidRPr="00A2130D">
        <w:rPr>
          <w:rFonts w:ascii="Arial" w:hAnsi="Arial" w:cs="Arial"/>
          <w:spacing w:val="-4"/>
          <w:sz w:val="24"/>
          <w:szCs w:val="24"/>
        </w:rPr>
        <w:t xml:space="preserve">Standard </w:t>
      </w:r>
      <w:r w:rsidR="00A2130D" w:rsidRPr="00A2130D">
        <w:rPr>
          <w:rFonts w:ascii="Arial" w:hAnsi="Arial" w:cs="Arial"/>
          <w:sz w:val="24"/>
          <w:szCs w:val="24"/>
        </w:rPr>
        <w:t>Contract</w:t>
      </w:r>
      <w:r w:rsidR="00A2130D" w:rsidRPr="00A2130D">
        <w:rPr>
          <w:rFonts w:ascii="Arial" w:hAnsi="Arial" w:cs="Arial"/>
          <w:spacing w:val="-5"/>
          <w:sz w:val="24"/>
          <w:szCs w:val="24"/>
        </w:rPr>
        <w:t>.</w:t>
      </w:r>
      <w:r w:rsidR="00A2130D" w:rsidRPr="00A2130D">
        <w:rPr>
          <w:spacing w:val="-5"/>
          <w:sz w:val="24"/>
          <w:szCs w:val="24"/>
        </w:rPr>
        <w:t xml:space="preserve">  </w:t>
      </w:r>
    </w:p>
    <w:p w:rsidR="00C77FA5" w:rsidRPr="00A2130D" w:rsidRDefault="00A2130D" w:rsidP="00C579F1">
      <w:pPr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The WDES </w:t>
      </w:r>
      <w:r w:rsidR="00FA128C">
        <w:rPr>
          <w:rFonts w:ascii="Arial" w:hAnsi="Arial" w:cs="Arial"/>
          <w:w w:val="105"/>
          <w:sz w:val="24"/>
          <w:szCs w:val="24"/>
        </w:rPr>
        <w:t xml:space="preserve">aims </w:t>
      </w:r>
      <w:r w:rsidR="00C77FA5" w:rsidRPr="00A2130D">
        <w:rPr>
          <w:rFonts w:ascii="Arial" w:hAnsi="Arial" w:cs="Arial"/>
          <w:w w:val="105"/>
          <w:sz w:val="24"/>
          <w:szCs w:val="24"/>
        </w:rPr>
        <w:t xml:space="preserve">to </w:t>
      </w:r>
      <w:r w:rsidR="00D12178" w:rsidRPr="00A2130D">
        <w:rPr>
          <w:rFonts w:ascii="Arial" w:hAnsi="Arial" w:cs="Arial"/>
          <w:w w:val="105"/>
          <w:sz w:val="24"/>
          <w:szCs w:val="24"/>
        </w:rPr>
        <w:t xml:space="preserve">help </w:t>
      </w:r>
      <w:r w:rsidR="00C77FA5" w:rsidRPr="00A2130D">
        <w:rPr>
          <w:rFonts w:ascii="Arial" w:hAnsi="Arial" w:cs="Arial"/>
          <w:w w:val="105"/>
          <w:sz w:val="24"/>
          <w:szCs w:val="24"/>
        </w:rPr>
        <w:t xml:space="preserve">enable </w:t>
      </w:r>
      <w:r w:rsidR="001823D8" w:rsidRPr="00A2130D">
        <w:rPr>
          <w:rFonts w:ascii="Arial" w:hAnsi="Arial" w:cs="Arial"/>
          <w:w w:val="105"/>
          <w:sz w:val="24"/>
          <w:szCs w:val="24"/>
        </w:rPr>
        <w:t xml:space="preserve">staff with </w:t>
      </w:r>
      <w:r w:rsidR="008A5D07" w:rsidRPr="00A2130D">
        <w:rPr>
          <w:rFonts w:ascii="Arial" w:hAnsi="Arial" w:cs="Arial"/>
          <w:w w:val="105"/>
          <w:sz w:val="24"/>
          <w:szCs w:val="24"/>
        </w:rPr>
        <w:t>a</w:t>
      </w:r>
      <w:r w:rsidR="001823D8" w:rsidRPr="00A2130D">
        <w:rPr>
          <w:rFonts w:ascii="Arial" w:hAnsi="Arial" w:cs="Arial"/>
          <w:w w:val="105"/>
          <w:sz w:val="24"/>
          <w:szCs w:val="24"/>
        </w:rPr>
        <w:t xml:space="preserve"> disability to have </w:t>
      </w:r>
      <w:r w:rsidR="00C77FA5" w:rsidRPr="00A2130D">
        <w:rPr>
          <w:rFonts w:ascii="Arial" w:hAnsi="Arial" w:cs="Arial"/>
          <w:w w:val="105"/>
          <w:sz w:val="24"/>
          <w:szCs w:val="24"/>
        </w:rPr>
        <w:t>equal</w:t>
      </w:r>
      <w:r w:rsidR="00C77FA5" w:rsidRPr="00A2130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77FA5" w:rsidRPr="00A2130D">
        <w:rPr>
          <w:rFonts w:ascii="Arial" w:hAnsi="Arial" w:cs="Arial"/>
          <w:w w:val="105"/>
          <w:sz w:val="24"/>
          <w:szCs w:val="24"/>
        </w:rPr>
        <w:t>access</w:t>
      </w:r>
      <w:r w:rsidR="00C77FA5" w:rsidRPr="00A2130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77FA5" w:rsidRPr="00A2130D">
        <w:rPr>
          <w:rFonts w:ascii="Arial" w:hAnsi="Arial" w:cs="Arial"/>
          <w:w w:val="105"/>
          <w:sz w:val="24"/>
          <w:szCs w:val="24"/>
        </w:rPr>
        <w:t>to</w:t>
      </w:r>
      <w:r w:rsidR="00C77FA5" w:rsidRPr="00A2130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77FA5" w:rsidRPr="00A2130D">
        <w:rPr>
          <w:rFonts w:ascii="Arial" w:hAnsi="Arial" w:cs="Arial"/>
          <w:w w:val="105"/>
          <w:sz w:val="24"/>
          <w:szCs w:val="24"/>
        </w:rPr>
        <w:t>career</w:t>
      </w:r>
      <w:r w:rsidR="00C77FA5" w:rsidRPr="00A2130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77FA5" w:rsidRPr="00A2130D">
        <w:rPr>
          <w:rFonts w:ascii="Arial" w:hAnsi="Arial" w:cs="Arial"/>
          <w:w w:val="105"/>
          <w:sz w:val="24"/>
          <w:szCs w:val="24"/>
        </w:rPr>
        <w:t>opportunities and f</w:t>
      </w:r>
      <w:r w:rsidR="007A0CB2" w:rsidRPr="00A2130D">
        <w:rPr>
          <w:rFonts w:ascii="Arial" w:hAnsi="Arial" w:cs="Arial"/>
          <w:w w:val="105"/>
          <w:sz w:val="24"/>
          <w:szCs w:val="24"/>
        </w:rPr>
        <w:t xml:space="preserve">air treatment in the </w:t>
      </w:r>
      <w:r w:rsidR="00C579F1" w:rsidRPr="00A2130D">
        <w:rPr>
          <w:rFonts w:ascii="Arial" w:hAnsi="Arial" w:cs="Arial"/>
          <w:w w:val="105"/>
          <w:sz w:val="24"/>
          <w:szCs w:val="24"/>
        </w:rPr>
        <w:t xml:space="preserve">NHS </w:t>
      </w:r>
      <w:r w:rsidR="007A0CB2" w:rsidRPr="00A2130D">
        <w:rPr>
          <w:rFonts w:ascii="Arial" w:hAnsi="Arial" w:cs="Arial"/>
          <w:w w:val="105"/>
          <w:sz w:val="24"/>
          <w:szCs w:val="24"/>
        </w:rPr>
        <w:t>workplace. This was in response to research indicating potential</w:t>
      </w:r>
      <w:r w:rsidR="00850F78" w:rsidRPr="00A2130D">
        <w:rPr>
          <w:rFonts w:ascii="Arial" w:hAnsi="Arial" w:cs="Arial"/>
          <w:w w:val="105"/>
          <w:sz w:val="24"/>
          <w:szCs w:val="24"/>
        </w:rPr>
        <w:t xml:space="preserve"> for</w:t>
      </w:r>
      <w:r w:rsidR="007A0CB2" w:rsidRPr="00A2130D">
        <w:rPr>
          <w:rFonts w:ascii="Arial" w:hAnsi="Arial" w:cs="Arial"/>
          <w:w w:val="105"/>
          <w:sz w:val="24"/>
          <w:szCs w:val="24"/>
        </w:rPr>
        <w:t xml:space="preserve"> less favourable treatment of </w:t>
      </w:r>
      <w:r w:rsidR="001823D8" w:rsidRPr="00A2130D">
        <w:rPr>
          <w:rFonts w:ascii="Arial" w:hAnsi="Arial" w:cs="Arial"/>
          <w:w w:val="105"/>
          <w:sz w:val="24"/>
          <w:szCs w:val="24"/>
        </w:rPr>
        <w:t xml:space="preserve">disabled staff within </w:t>
      </w:r>
      <w:r w:rsidR="007A0CB2" w:rsidRPr="00A2130D">
        <w:rPr>
          <w:rFonts w:ascii="Arial" w:hAnsi="Arial" w:cs="Arial"/>
          <w:w w:val="105"/>
          <w:sz w:val="24"/>
          <w:szCs w:val="24"/>
        </w:rPr>
        <w:t xml:space="preserve">the NHS. </w:t>
      </w:r>
      <w:r w:rsidR="00674C15">
        <w:rPr>
          <w:rFonts w:ascii="Arial" w:hAnsi="Arial" w:cs="Arial"/>
          <w:w w:val="105"/>
          <w:sz w:val="24"/>
          <w:szCs w:val="24"/>
        </w:rPr>
        <w:t>(</w:t>
      </w:r>
      <w:r>
        <w:rPr>
          <w:rFonts w:ascii="Arial" w:hAnsi="Arial" w:cs="Arial"/>
          <w:w w:val="105"/>
          <w:sz w:val="24"/>
          <w:szCs w:val="24"/>
        </w:rPr>
        <w:t xml:space="preserve">For instance </w:t>
      </w:r>
      <w:r w:rsidRPr="00A2130D">
        <w:rPr>
          <w:rFonts w:ascii="Arial" w:hAnsi="Arial" w:cs="Arial"/>
          <w:spacing w:val="-4"/>
          <w:sz w:val="24"/>
          <w:szCs w:val="24"/>
        </w:rPr>
        <w:t xml:space="preserve">that </w:t>
      </w:r>
      <w:r w:rsidRPr="00A2130D">
        <w:rPr>
          <w:rFonts w:ascii="Arial" w:hAnsi="Arial" w:cs="Arial"/>
          <w:spacing w:val="-3"/>
          <w:sz w:val="24"/>
          <w:szCs w:val="24"/>
        </w:rPr>
        <w:t xml:space="preserve">Disabled </w:t>
      </w:r>
      <w:r w:rsidRPr="00A2130D">
        <w:rPr>
          <w:rFonts w:ascii="Arial" w:hAnsi="Arial" w:cs="Arial"/>
          <w:sz w:val="24"/>
          <w:szCs w:val="24"/>
        </w:rPr>
        <w:t xml:space="preserve">staff </w:t>
      </w:r>
      <w:r w:rsidRPr="00A2130D">
        <w:rPr>
          <w:rFonts w:ascii="Arial" w:hAnsi="Arial" w:cs="Arial"/>
          <w:spacing w:val="-5"/>
          <w:sz w:val="24"/>
          <w:szCs w:val="24"/>
        </w:rPr>
        <w:t xml:space="preserve">have </w:t>
      </w:r>
      <w:r w:rsidRPr="00A2130D">
        <w:rPr>
          <w:rFonts w:ascii="Arial" w:hAnsi="Arial" w:cs="Arial"/>
          <w:spacing w:val="-4"/>
          <w:sz w:val="24"/>
          <w:szCs w:val="24"/>
        </w:rPr>
        <w:t xml:space="preserve">poorer experiences </w:t>
      </w:r>
      <w:r w:rsidRPr="00A2130D">
        <w:rPr>
          <w:rFonts w:ascii="Arial" w:hAnsi="Arial" w:cs="Arial"/>
          <w:spacing w:val="-3"/>
          <w:sz w:val="24"/>
          <w:szCs w:val="24"/>
        </w:rPr>
        <w:t xml:space="preserve">in </w:t>
      </w:r>
      <w:r w:rsidRPr="00A2130D">
        <w:rPr>
          <w:rFonts w:ascii="Arial" w:hAnsi="Arial" w:cs="Arial"/>
          <w:spacing w:val="-4"/>
          <w:sz w:val="24"/>
          <w:szCs w:val="24"/>
        </w:rPr>
        <w:t xml:space="preserve">areas </w:t>
      </w:r>
      <w:r w:rsidRPr="00A2130D">
        <w:rPr>
          <w:rFonts w:ascii="Arial" w:hAnsi="Arial" w:cs="Arial"/>
          <w:sz w:val="24"/>
          <w:szCs w:val="24"/>
        </w:rPr>
        <w:t xml:space="preserve">such </w:t>
      </w:r>
      <w:r w:rsidRPr="00A2130D">
        <w:rPr>
          <w:rFonts w:ascii="Arial" w:hAnsi="Arial" w:cs="Arial"/>
          <w:spacing w:val="-3"/>
          <w:sz w:val="24"/>
          <w:szCs w:val="24"/>
        </w:rPr>
        <w:t xml:space="preserve">as </w:t>
      </w:r>
      <w:r w:rsidRPr="00A2130D">
        <w:rPr>
          <w:rFonts w:ascii="Arial" w:hAnsi="Arial" w:cs="Arial"/>
          <w:spacing w:val="-6"/>
          <w:sz w:val="24"/>
          <w:szCs w:val="24"/>
        </w:rPr>
        <w:t xml:space="preserve">bullying </w:t>
      </w:r>
      <w:r w:rsidRPr="00A2130D">
        <w:rPr>
          <w:rFonts w:ascii="Arial" w:hAnsi="Arial" w:cs="Arial"/>
          <w:spacing w:val="-4"/>
          <w:sz w:val="24"/>
          <w:szCs w:val="24"/>
        </w:rPr>
        <w:t xml:space="preserve">and </w:t>
      </w:r>
      <w:r w:rsidRPr="00A2130D">
        <w:rPr>
          <w:rFonts w:ascii="Arial" w:hAnsi="Arial" w:cs="Arial"/>
          <w:sz w:val="24"/>
          <w:szCs w:val="24"/>
        </w:rPr>
        <w:t xml:space="preserve">harassment </w:t>
      </w:r>
      <w:r w:rsidRPr="00A2130D">
        <w:rPr>
          <w:rFonts w:ascii="Arial" w:hAnsi="Arial" w:cs="Arial"/>
          <w:spacing w:val="-4"/>
          <w:sz w:val="24"/>
          <w:szCs w:val="24"/>
        </w:rPr>
        <w:t xml:space="preserve">and </w:t>
      </w:r>
      <w:r w:rsidR="00FA128C">
        <w:rPr>
          <w:rFonts w:ascii="Arial" w:hAnsi="Arial" w:cs="Arial"/>
          <w:spacing w:val="-4"/>
          <w:sz w:val="24"/>
          <w:szCs w:val="24"/>
        </w:rPr>
        <w:t xml:space="preserve">in </w:t>
      </w:r>
      <w:r w:rsidRPr="00A2130D">
        <w:rPr>
          <w:rFonts w:ascii="Arial" w:hAnsi="Arial" w:cs="Arial"/>
          <w:spacing w:val="-5"/>
          <w:sz w:val="24"/>
          <w:szCs w:val="24"/>
        </w:rPr>
        <w:t xml:space="preserve">attending </w:t>
      </w:r>
      <w:r w:rsidRPr="00A2130D">
        <w:rPr>
          <w:rFonts w:ascii="Arial" w:hAnsi="Arial" w:cs="Arial"/>
          <w:sz w:val="24"/>
          <w:szCs w:val="24"/>
        </w:rPr>
        <w:t xml:space="preserve">work </w:t>
      </w:r>
      <w:r w:rsidRPr="00A2130D">
        <w:rPr>
          <w:rFonts w:ascii="Arial" w:hAnsi="Arial" w:cs="Arial"/>
          <w:spacing w:val="-3"/>
          <w:sz w:val="24"/>
          <w:szCs w:val="24"/>
        </w:rPr>
        <w:t xml:space="preserve">when </w:t>
      </w:r>
      <w:r w:rsidRPr="00A2130D">
        <w:rPr>
          <w:rFonts w:ascii="Arial" w:hAnsi="Arial" w:cs="Arial"/>
          <w:spacing w:val="-5"/>
          <w:sz w:val="24"/>
          <w:szCs w:val="24"/>
        </w:rPr>
        <w:t xml:space="preserve">feeling ill, </w:t>
      </w:r>
      <w:r w:rsidRPr="00A2130D">
        <w:rPr>
          <w:rFonts w:ascii="Arial" w:hAnsi="Arial" w:cs="Arial"/>
          <w:spacing w:val="-3"/>
          <w:sz w:val="24"/>
          <w:szCs w:val="24"/>
        </w:rPr>
        <w:t xml:space="preserve">when </w:t>
      </w:r>
      <w:r w:rsidRPr="00A2130D">
        <w:rPr>
          <w:rFonts w:ascii="Arial" w:hAnsi="Arial" w:cs="Arial"/>
          <w:sz w:val="24"/>
          <w:szCs w:val="24"/>
        </w:rPr>
        <w:t xml:space="preserve">compared to </w:t>
      </w:r>
      <w:r w:rsidRPr="00A2130D">
        <w:rPr>
          <w:rFonts w:ascii="Arial" w:hAnsi="Arial" w:cs="Arial"/>
          <w:spacing w:val="-4"/>
          <w:sz w:val="24"/>
          <w:szCs w:val="24"/>
        </w:rPr>
        <w:t xml:space="preserve">non-disabled </w:t>
      </w:r>
      <w:r w:rsidRPr="00A2130D">
        <w:rPr>
          <w:rFonts w:ascii="Arial" w:hAnsi="Arial" w:cs="Arial"/>
          <w:sz w:val="24"/>
          <w:szCs w:val="24"/>
        </w:rPr>
        <w:t>staff</w:t>
      </w:r>
      <w:r w:rsidR="00674C15">
        <w:rPr>
          <w:rFonts w:ascii="Arial" w:hAnsi="Arial" w:cs="Arial"/>
          <w:sz w:val="24"/>
          <w:szCs w:val="24"/>
        </w:rPr>
        <w:t>).</w:t>
      </w:r>
    </w:p>
    <w:p w:rsidR="00114C36" w:rsidRPr="00A2130D" w:rsidRDefault="00FA128C" w:rsidP="00FA128C">
      <w:pPr>
        <w:spacing w:after="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WDES - </w:t>
      </w:r>
      <w:r w:rsidR="00114C36" w:rsidRPr="00A2130D">
        <w:rPr>
          <w:rFonts w:ascii="Arial" w:hAnsi="Arial" w:cs="Arial"/>
          <w:b/>
          <w:sz w:val="24"/>
          <w:szCs w:val="24"/>
          <w:lang w:eastAsia="en-GB"/>
        </w:rPr>
        <w:t xml:space="preserve">Specific </w:t>
      </w:r>
      <w:r w:rsidR="00850F78" w:rsidRPr="00A2130D">
        <w:rPr>
          <w:rFonts w:ascii="Arial" w:hAnsi="Arial" w:cs="Arial"/>
          <w:b/>
          <w:sz w:val="24"/>
          <w:szCs w:val="24"/>
          <w:lang w:eastAsia="en-GB"/>
        </w:rPr>
        <w:t>Metrics o</w:t>
      </w:r>
      <w:r w:rsidR="00114C36" w:rsidRPr="00A2130D">
        <w:rPr>
          <w:rFonts w:ascii="Arial" w:hAnsi="Arial" w:cs="Arial"/>
          <w:b/>
          <w:sz w:val="24"/>
          <w:szCs w:val="24"/>
          <w:lang w:eastAsia="en-GB"/>
        </w:rPr>
        <w:t xml:space="preserve">f performance for Disabled staff - </w:t>
      </w:r>
      <w:r w:rsidR="00114C36" w:rsidRPr="00A2130D">
        <w:rPr>
          <w:rFonts w:ascii="Arial" w:hAnsi="Arial" w:cs="Arial"/>
          <w:sz w:val="24"/>
          <w:szCs w:val="24"/>
          <w:lang w:eastAsia="en-GB"/>
        </w:rPr>
        <w:t xml:space="preserve">The WDES </w:t>
      </w:r>
      <w:r w:rsidR="00850F78" w:rsidRPr="00A2130D">
        <w:rPr>
          <w:rFonts w:ascii="Arial" w:hAnsi="Arial" w:cs="Arial"/>
          <w:sz w:val="24"/>
          <w:szCs w:val="24"/>
          <w:lang w:eastAsia="en-GB"/>
        </w:rPr>
        <w:t xml:space="preserve">has </w:t>
      </w:r>
      <w:r w:rsidR="00114C36" w:rsidRPr="00A2130D">
        <w:rPr>
          <w:rFonts w:ascii="Arial" w:hAnsi="Arial" w:cs="Arial"/>
          <w:sz w:val="24"/>
          <w:szCs w:val="24"/>
          <w:lang w:eastAsia="en-GB"/>
        </w:rPr>
        <w:t xml:space="preserve">a similar set of </w:t>
      </w:r>
      <w:r w:rsidR="00850F78" w:rsidRPr="00A2130D">
        <w:rPr>
          <w:rFonts w:ascii="Arial" w:hAnsi="Arial" w:cs="Arial"/>
          <w:sz w:val="24"/>
          <w:szCs w:val="24"/>
          <w:lang w:eastAsia="en-GB"/>
        </w:rPr>
        <w:t xml:space="preserve">measures to the </w:t>
      </w:r>
      <w:r w:rsidR="005D66AD" w:rsidRPr="00A2130D">
        <w:rPr>
          <w:rFonts w:ascii="Arial" w:hAnsi="Arial" w:cs="Arial"/>
          <w:sz w:val="24"/>
          <w:szCs w:val="24"/>
          <w:lang w:eastAsia="en-GB"/>
        </w:rPr>
        <w:t xml:space="preserve">WRES </w:t>
      </w:r>
      <w:r w:rsidR="00850F78" w:rsidRPr="00A2130D">
        <w:rPr>
          <w:rFonts w:ascii="Arial" w:hAnsi="Arial" w:cs="Arial"/>
          <w:sz w:val="24"/>
          <w:szCs w:val="24"/>
          <w:lang w:eastAsia="en-GB"/>
        </w:rPr>
        <w:t xml:space="preserve">Indicators but </w:t>
      </w:r>
      <w:r>
        <w:rPr>
          <w:rFonts w:ascii="Arial" w:hAnsi="Arial" w:cs="Arial"/>
          <w:sz w:val="24"/>
          <w:szCs w:val="24"/>
          <w:lang w:eastAsia="en-GB"/>
        </w:rPr>
        <w:t xml:space="preserve">these </w:t>
      </w:r>
      <w:r w:rsidR="00FF2FC7">
        <w:rPr>
          <w:rFonts w:ascii="Arial" w:hAnsi="Arial" w:cs="Arial"/>
          <w:sz w:val="24"/>
          <w:szCs w:val="24"/>
          <w:lang w:eastAsia="en-GB"/>
        </w:rPr>
        <w:t xml:space="preserve">are called </w:t>
      </w:r>
      <w:r w:rsidR="00850F78" w:rsidRPr="00A2130D">
        <w:rPr>
          <w:rFonts w:ascii="Arial" w:hAnsi="Arial" w:cs="Arial"/>
          <w:sz w:val="24"/>
          <w:szCs w:val="24"/>
          <w:lang w:eastAsia="en-GB"/>
        </w:rPr>
        <w:t xml:space="preserve">Metrics to avoid confusing the two standards. These </w:t>
      </w:r>
      <w:r w:rsidR="00114C36" w:rsidRPr="00A2130D">
        <w:rPr>
          <w:rFonts w:ascii="Arial" w:hAnsi="Arial" w:cs="Arial"/>
          <w:w w:val="105"/>
          <w:sz w:val="24"/>
          <w:szCs w:val="24"/>
        </w:rPr>
        <w:t xml:space="preserve">focus on the representation of disabled staff at all levels in the Trust and the differences between the experience and treatment of disabled and non-disabled staff in the Trust / NHS. </w:t>
      </w:r>
    </w:p>
    <w:p w:rsidR="00A2130D" w:rsidRPr="00A2130D" w:rsidRDefault="00A2130D" w:rsidP="00FF2FC7">
      <w:pPr>
        <w:pStyle w:val="BodyText"/>
        <w:spacing w:before="9" w:line="276" w:lineRule="auto"/>
        <w:rPr>
          <w:rFonts w:ascii="Arial" w:hAnsi="Arial" w:cs="Arial"/>
          <w:b/>
        </w:rPr>
      </w:pPr>
    </w:p>
    <w:tbl>
      <w:tblPr>
        <w:tblW w:w="9072" w:type="dxa"/>
        <w:tblInd w:w="-10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A2130D" w:rsidRPr="00A2130D" w:rsidTr="00FF2FC7">
        <w:trPr>
          <w:trHeight w:val="740"/>
        </w:trPr>
        <w:tc>
          <w:tcPr>
            <w:tcW w:w="9072" w:type="dxa"/>
            <w:shd w:val="clear" w:color="auto" w:fill="C6D9F1" w:themeFill="text2" w:themeFillTint="33"/>
            <w:vAlign w:val="center"/>
          </w:tcPr>
          <w:p w:rsidR="00FA128C" w:rsidRPr="00FA128C" w:rsidRDefault="00FA128C" w:rsidP="00FA128C">
            <w:pPr>
              <w:pStyle w:val="Heading1"/>
              <w:spacing w:before="88" w:line="276" w:lineRule="auto"/>
              <w:ind w:left="0"/>
              <w:jc w:val="center"/>
            </w:pPr>
            <w:r w:rsidRPr="00FA128C">
              <w:t>WDES 10 Metrics</w:t>
            </w:r>
          </w:p>
          <w:p w:rsidR="00F624A5" w:rsidRPr="00FA128C" w:rsidRDefault="00FA128C" w:rsidP="00FA128C">
            <w:pPr>
              <w:pStyle w:val="Heading1"/>
              <w:spacing w:before="88"/>
              <w:ind w:left="0"/>
              <w:jc w:val="center"/>
            </w:pPr>
            <w:r w:rsidRPr="00FF2FC7">
              <w:rPr>
                <w:b w:val="0"/>
              </w:rPr>
              <w:t>Metrics</w:t>
            </w:r>
            <w:r w:rsidRPr="00FF2FC7">
              <w:rPr>
                <w:rStyle w:val="FootnoteReference"/>
                <w:b w:val="0"/>
              </w:rPr>
              <w:footnoteReference w:id="1"/>
            </w:r>
            <w:r w:rsidRPr="00FF2FC7">
              <w:rPr>
                <w:b w:val="0"/>
              </w:rPr>
              <w:t xml:space="preserve"> data sources</w:t>
            </w:r>
            <w:r>
              <w:rPr>
                <w:b w:val="0"/>
              </w:rPr>
              <w:t xml:space="preserve"> are the </w:t>
            </w:r>
            <w:r w:rsidRPr="00FF2FC7">
              <w:rPr>
                <w:b w:val="0"/>
              </w:rPr>
              <w:t xml:space="preserve">recruitment dataset, ESR, NHS Staff Survey, HR data. </w:t>
            </w:r>
            <w:r>
              <w:rPr>
                <w:b w:val="0"/>
              </w:rPr>
              <w:t xml:space="preserve">Except for </w:t>
            </w:r>
            <w:r w:rsidRPr="00FF2FC7">
              <w:rPr>
                <w:b w:val="0"/>
              </w:rPr>
              <w:t xml:space="preserve">Metric 9b which </w:t>
            </w:r>
            <w:r>
              <w:rPr>
                <w:b w:val="0"/>
              </w:rPr>
              <w:t xml:space="preserve">requires </w:t>
            </w:r>
            <w:r w:rsidRPr="00FF2FC7">
              <w:rPr>
                <w:b w:val="0"/>
              </w:rPr>
              <w:t xml:space="preserve">narrative evidence of actions taken, </w:t>
            </w:r>
            <w:r>
              <w:rPr>
                <w:b w:val="0"/>
              </w:rPr>
              <w:t>within the</w:t>
            </w:r>
            <w:r w:rsidRPr="00FF2FC7">
              <w:rPr>
                <w:b w:val="0"/>
              </w:rPr>
              <w:t xml:space="preserve"> WDES annual report.</w:t>
            </w:r>
          </w:p>
        </w:tc>
      </w:tr>
      <w:tr w:rsidR="00674C15" w:rsidRPr="00A2130D" w:rsidTr="00FF2FC7">
        <w:trPr>
          <w:trHeight w:val="439"/>
        </w:trPr>
        <w:tc>
          <w:tcPr>
            <w:tcW w:w="9072" w:type="dxa"/>
            <w:shd w:val="clear" w:color="auto" w:fill="C6D9F1" w:themeFill="text2" w:themeFillTint="33"/>
            <w:vAlign w:val="center"/>
          </w:tcPr>
          <w:p w:rsidR="00674C15" w:rsidRPr="00A2130D" w:rsidRDefault="00674C15" w:rsidP="00FA128C">
            <w:pPr>
              <w:pStyle w:val="TableParagraph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1</w:t>
            </w:r>
            <w:r w:rsidR="00FA128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4C15" w:rsidRPr="00A2130D" w:rsidTr="00205005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674C15" w:rsidRDefault="00FA128C" w:rsidP="0020500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624A5">
              <w:rPr>
                <w:b/>
                <w:sz w:val="24"/>
                <w:szCs w:val="24"/>
              </w:rPr>
              <w:t>ompare the data for both Disabled and non-disabled staf</w:t>
            </w:r>
            <w:r>
              <w:rPr>
                <w:b/>
                <w:sz w:val="24"/>
                <w:szCs w:val="24"/>
              </w:rPr>
              <w:t xml:space="preserve">f: </w:t>
            </w:r>
            <w:r w:rsidR="00674C15" w:rsidRPr="00A2130D">
              <w:rPr>
                <w:b/>
                <w:sz w:val="24"/>
                <w:szCs w:val="24"/>
              </w:rPr>
              <w:t xml:space="preserve">Percentage of staff in AfC </w:t>
            </w:r>
            <w:r w:rsidR="008A6612" w:rsidRPr="00A2130D">
              <w:rPr>
                <w:b/>
                <w:sz w:val="24"/>
                <w:szCs w:val="24"/>
              </w:rPr>
              <w:t>pay bands</w:t>
            </w:r>
            <w:r w:rsidR="00674C15" w:rsidRPr="00A2130D">
              <w:rPr>
                <w:b/>
                <w:sz w:val="24"/>
                <w:szCs w:val="24"/>
              </w:rPr>
              <w:t xml:space="preserve"> or medical and dental subgroups and very senior managers (including Executive Board members) compared with the</w:t>
            </w:r>
            <w:r w:rsidR="00674C15">
              <w:rPr>
                <w:b/>
                <w:sz w:val="24"/>
                <w:szCs w:val="24"/>
              </w:rPr>
              <w:t xml:space="preserve"> </w:t>
            </w:r>
            <w:r w:rsidR="00674C15" w:rsidRPr="00A2130D">
              <w:rPr>
                <w:b/>
                <w:sz w:val="24"/>
                <w:szCs w:val="24"/>
              </w:rPr>
              <w:t>percentage of staff in the overall workforce</w:t>
            </w:r>
            <w:r w:rsidR="00674C15" w:rsidRPr="00A2130D">
              <w:rPr>
                <w:sz w:val="24"/>
                <w:szCs w:val="24"/>
              </w:rPr>
              <w:t>.</w:t>
            </w:r>
            <w:r w:rsidR="00674C15">
              <w:rPr>
                <w:sz w:val="24"/>
                <w:szCs w:val="24"/>
              </w:rPr>
              <w:t xml:space="preserve"> </w:t>
            </w:r>
            <w:r w:rsidR="00674C15">
              <w:rPr>
                <w:b/>
                <w:sz w:val="24"/>
                <w:szCs w:val="24"/>
              </w:rPr>
              <w:t xml:space="preserve">Undertake </w:t>
            </w:r>
            <w:r w:rsidR="00674C15" w:rsidRPr="00674C15">
              <w:rPr>
                <w:b/>
                <w:sz w:val="24"/>
                <w:szCs w:val="24"/>
              </w:rPr>
              <w:t>this calculation separately for non-clinical and for clinical staff.</w:t>
            </w:r>
          </w:p>
          <w:p w:rsidR="00674C15" w:rsidRPr="00A2130D" w:rsidRDefault="00674C15" w:rsidP="00205005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828" w:hanging="357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Cluster 1: AfC Band 1, 2, 3 and 4</w:t>
            </w:r>
          </w:p>
          <w:p w:rsidR="00205005" w:rsidRDefault="00674C15" w:rsidP="00205005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828" w:right="283" w:hanging="357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 xml:space="preserve">Cluster 2: AfC Band 5, 6 and 7 </w:t>
            </w:r>
          </w:p>
          <w:p w:rsidR="00674C15" w:rsidRPr="00A2130D" w:rsidRDefault="00674C15" w:rsidP="00205005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828" w:right="283" w:hanging="357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Cluster 3: AfC Band 8a and 8b</w:t>
            </w:r>
          </w:p>
          <w:p w:rsidR="00674C15" w:rsidRPr="00A2130D" w:rsidRDefault="00674C15" w:rsidP="00205005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828" w:hanging="357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Cluster 4: AfC Band 8c, 8d, 9 and VSM (incl</w:t>
            </w:r>
            <w:r w:rsidR="00205005">
              <w:rPr>
                <w:sz w:val="24"/>
                <w:szCs w:val="24"/>
              </w:rPr>
              <w:t>.</w:t>
            </w:r>
            <w:r w:rsidRPr="00A2130D">
              <w:rPr>
                <w:sz w:val="24"/>
                <w:szCs w:val="24"/>
              </w:rPr>
              <w:t xml:space="preserve"> Executive Board members)</w:t>
            </w:r>
          </w:p>
          <w:p w:rsidR="00674C15" w:rsidRPr="00A2130D" w:rsidRDefault="00674C15" w:rsidP="00205005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828" w:hanging="357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Cluster 5: Medical and Dental staff, Consultants</w:t>
            </w:r>
          </w:p>
          <w:p w:rsidR="00205005" w:rsidRDefault="00674C15" w:rsidP="00205005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828" w:right="141" w:hanging="357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 xml:space="preserve">Cluster 6: Medical and Dental staff, Non-consultant career grade </w:t>
            </w:r>
          </w:p>
          <w:p w:rsidR="00674C15" w:rsidRPr="00A2130D" w:rsidRDefault="00674C15" w:rsidP="00205005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828" w:right="141" w:hanging="357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 xml:space="preserve">Cluster 7: Medical and Dental staff, Medical and dental trainee </w:t>
            </w:r>
            <w:r>
              <w:rPr>
                <w:sz w:val="24"/>
                <w:szCs w:val="24"/>
              </w:rPr>
              <w:t>g</w:t>
            </w:r>
            <w:r w:rsidRPr="00A2130D">
              <w:rPr>
                <w:sz w:val="24"/>
                <w:szCs w:val="24"/>
              </w:rPr>
              <w:t>rades</w:t>
            </w:r>
          </w:p>
          <w:p w:rsidR="00205005" w:rsidRPr="00A2130D" w:rsidRDefault="00674C15" w:rsidP="00FA128C">
            <w:pPr>
              <w:pStyle w:val="TableParagraph"/>
              <w:spacing w:before="1" w:after="240" w:line="240" w:lineRule="auto"/>
              <w:rPr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lastRenderedPageBreak/>
              <w:t xml:space="preserve">Note: </w:t>
            </w:r>
            <w:r w:rsidRPr="00A2130D">
              <w:rPr>
                <w:sz w:val="24"/>
                <w:szCs w:val="24"/>
              </w:rPr>
              <w:t>Definitions for these categories are based on ESR occupation codes with the exception of medical and dental staff, which are based upon grade codes.</w:t>
            </w:r>
          </w:p>
        </w:tc>
      </w:tr>
      <w:tr w:rsidR="00FF2FC7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F2FC7" w:rsidRPr="00A2130D" w:rsidRDefault="00FF2FC7" w:rsidP="00FF2FC7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lastRenderedPageBreak/>
              <w:t>M</w:t>
            </w:r>
            <w:r>
              <w:rPr>
                <w:b/>
                <w:sz w:val="24"/>
                <w:szCs w:val="24"/>
              </w:rPr>
              <w:t xml:space="preserve">ETRIC </w:t>
            </w:r>
            <w:r w:rsidRPr="00A2130D">
              <w:rPr>
                <w:b/>
                <w:sz w:val="24"/>
                <w:szCs w:val="24"/>
              </w:rPr>
              <w:t>2</w:t>
            </w:r>
          </w:p>
        </w:tc>
      </w:tr>
      <w:tr w:rsidR="00FF2FC7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FF2FC7" w:rsidRDefault="00FF2FC7" w:rsidP="00FF2FC7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Relative likelihood of Disabled staff compared to non-disabled staff being appointed from shortlisting across all posts. </w:t>
            </w:r>
          </w:p>
          <w:p w:rsidR="00FF2FC7" w:rsidRPr="00FF2FC7" w:rsidRDefault="00FF2FC7" w:rsidP="00FF2FC7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Note: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FC7">
              <w:rPr>
                <w:b/>
                <w:sz w:val="24"/>
                <w:szCs w:val="24"/>
              </w:rPr>
              <w:t>This</w:t>
            </w:r>
            <w:r w:rsidRPr="00FF2FC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F2FC7">
              <w:rPr>
                <w:b/>
                <w:spacing w:val="2"/>
                <w:sz w:val="24"/>
                <w:szCs w:val="24"/>
              </w:rPr>
              <w:t>refers</w:t>
            </w:r>
            <w:r w:rsidRPr="00FF2FC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F2FC7">
              <w:rPr>
                <w:b/>
                <w:sz w:val="24"/>
                <w:szCs w:val="24"/>
              </w:rPr>
              <w:t>to</w:t>
            </w:r>
            <w:r w:rsidRPr="00FF2FC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F2FC7">
              <w:rPr>
                <w:b/>
                <w:sz w:val="24"/>
                <w:szCs w:val="24"/>
              </w:rPr>
              <w:t>both</w:t>
            </w:r>
            <w:r w:rsidRPr="00FF2FC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F2FC7">
              <w:rPr>
                <w:b/>
                <w:sz w:val="24"/>
                <w:szCs w:val="24"/>
              </w:rPr>
              <w:t>external</w:t>
            </w:r>
            <w:r w:rsidRPr="00FF2FC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F2FC7">
              <w:rPr>
                <w:b/>
                <w:sz w:val="24"/>
                <w:szCs w:val="24"/>
              </w:rPr>
              <w:t>and</w:t>
            </w:r>
            <w:r w:rsidRPr="00FF2FC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F2FC7">
              <w:rPr>
                <w:b/>
                <w:sz w:val="24"/>
                <w:szCs w:val="24"/>
              </w:rPr>
              <w:t>internal</w:t>
            </w:r>
            <w:r w:rsidRPr="00FF2FC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F2FC7">
              <w:rPr>
                <w:b/>
                <w:spacing w:val="3"/>
                <w:sz w:val="24"/>
                <w:szCs w:val="24"/>
              </w:rPr>
              <w:t>posts.</w:t>
            </w:r>
          </w:p>
          <w:p w:rsidR="00FF2FC7" w:rsidRPr="00A2130D" w:rsidRDefault="00FF2FC7" w:rsidP="00FF2FC7">
            <w:pPr>
              <w:pStyle w:val="TableParagraph"/>
              <w:tabs>
                <w:tab w:val="left" w:pos="1191"/>
                <w:tab w:val="left" w:pos="1192"/>
              </w:tabs>
              <w:autoSpaceDE w:val="0"/>
              <w:autoSpaceDN w:val="0"/>
              <w:spacing w:before="51" w:line="273" w:lineRule="auto"/>
              <w:ind w:right="462"/>
              <w:rPr>
                <w:b/>
                <w:sz w:val="24"/>
                <w:szCs w:val="24"/>
              </w:rPr>
            </w:pPr>
            <w:r w:rsidRPr="00A2130D">
              <w:rPr>
                <w:spacing w:val="-8"/>
                <w:sz w:val="24"/>
                <w:szCs w:val="24"/>
              </w:rPr>
              <w:t xml:space="preserve">If </w:t>
            </w:r>
            <w:r w:rsidRPr="00A2130D">
              <w:rPr>
                <w:sz w:val="24"/>
                <w:szCs w:val="24"/>
              </w:rPr>
              <w:t xml:space="preserve">your organisation implements a guaranteed interview scheme, the data </w:t>
            </w:r>
            <w:r w:rsidRPr="00A2130D">
              <w:rPr>
                <w:spacing w:val="-3"/>
                <w:sz w:val="24"/>
                <w:szCs w:val="24"/>
              </w:rPr>
              <w:t xml:space="preserve">may </w:t>
            </w:r>
            <w:r w:rsidRPr="00A2130D">
              <w:rPr>
                <w:sz w:val="24"/>
                <w:szCs w:val="24"/>
              </w:rPr>
              <w:t xml:space="preserve">not be comparable </w:t>
            </w:r>
            <w:r w:rsidRPr="00A2130D">
              <w:rPr>
                <w:spacing w:val="-5"/>
                <w:sz w:val="24"/>
                <w:szCs w:val="24"/>
              </w:rPr>
              <w:t xml:space="preserve">with </w:t>
            </w:r>
            <w:r w:rsidRPr="00A2130D">
              <w:rPr>
                <w:sz w:val="24"/>
                <w:szCs w:val="24"/>
              </w:rPr>
              <w:t xml:space="preserve">organisations that do not operate such a scheme. This information </w:t>
            </w:r>
            <w:r w:rsidRPr="00A2130D">
              <w:rPr>
                <w:spacing w:val="-6"/>
                <w:sz w:val="24"/>
                <w:szCs w:val="24"/>
              </w:rPr>
              <w:t xml:space="preserve">will </w:t>
            </w:r>
            <w:r w:rsidRPr="00A2130D">
              <w:rPr>
                <w:sz w:val="24"/>
                <w:szCs w:val="24"/>
              </w:rPr>
              <w:t xml:space="preserve">be collected on the </w:t>
            </w:r>
            <w:r w:rsidRPr="00A2130D">
              <w:rPr>
                <w:spacing w:val="-3"/>
                <w:sz w:val="24"/>
                <w:szCs w:val="24"/>
              </w:rPr>
              <w:t xml:space="preserve">WDES </w:t>
            </w:r>
            <w:r w:rsidRPr="00A2130D">
              <w:rPr>
                <w:sz w:val="24"/>
                <w:szCs w:val="24"/>
              </w:rPr>
              <w:t>online</w:t>
            </w:r>
            <w:r w:rsidRPr="00A2130D">
              <w:rPr>
                <w:spacing w:val="32"/>
                <w:sz w:val="24"/>
                <w:szCs w:val="24"/>
              </w:rPr>
              <w:t xml:space="preserve"> </w:t>
            </w:r>
            <w:r w:rsidRPr="00A2130D">
              <w:rPr>
                <w:spacing w:val="2"/>
                <w:sz w:val="24"/>
                <w:szCs w:val="24"/>
              </w:rPr>
              <w:t>reporting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form to ensure comparability between organisations</w:t>
            </w:r>
            <w:r w:rsidRPr="00A2130D">
              <w:rPr>
                <w:i/>
                <w:sz w:val="24"/>
                <w:szCs w:val="24"/>
              </w:rPr>
              <w:t>.</w:t>
            </w:r>
          </w:p>
        </w:tc>
      </w:tr>
      <w:tr w:rsidR="00FF2FC7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F2FC7" w:rsidRPr="00A2130D" w:rsidRDefault="00FF2FC7" w:rsidP="00FF2FC7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ETRIC 3</w:t>
            </w:r>
          </w:p>
        </w:tc>
      </w:tr>
      <w:tr w:rsidR="00FF2FC7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FF2FC7" w:rsidRPr="00FF2FC7" w:rsidRDefault="00FF2FC7" w:rsidP="00FF2FC7">
            <w:pPr>
              <w:pStyle w:val="TableParagraph"/>
              <w:spacing w:before="15" w:line="273" w:lineRule="auto"/>
              <w:ind w:right="0"/>
              <w:rPr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Relative likelihood of Disabled staff compared to non-disabled staff entering the formal capability process, as measured by entry into the formal capability procedure.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>Note: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 xml:space="preserve">This Metric </w:t>
            </w:r>
            <w:r w:rsidRPr="00A2130D">
              <w:rPr>
                <w:spacing w:val="-6"/>
                <w:sz w:val="24"/>
                <w:szCs w:val="24"/>
              </w:rPr>
              <w:t xml:space="preserve">will </w:t>
            </w:r>
            <w:r w:rsidRPr="00A2130D">
              <w:rPr>
                <w:sz w:val="24"/>
                <w:szCs w:val="24"/>
              </w:rPr>
              <w:t xml:space="preserve">be based on data </w:t>
            </w:r>
            <w:r w:rsidRPr="00A2130D">
              <w:rPr>
                <w:spacing w:val="2"/>
                <w:sz w:val="24"/>
                <w:szCs w:val="24"/>
              </w:rPr>
              <w:t xml:space="preserve">from </w:t>
            </w:r>
            <w:r w:rsidRPr="00A2130D">
              <w:rPr>
                <w:sz w:val="24"/>
                <w:szCs w:val="24"/>
              </w:rPr>
              <w:t xml:space="preserve">a two-year rolling </w:t>
            </w:r>
            <w:r w:rsidRPr="00A2130D">
              <w:rPr>
                <w:spacing w:val="2"/>
                <w:sz w:val="24"/>
                <w:szCs w:val="24"/>
              </w:rPr>
              <w:t xml:space="preserve">average </w:t>
            </w:r>
            <w:r w:rsidRPr="00A2130D">
              <w:rPr>
                <w:sz w:val="24"/>
                <w:szCs w:val="24"/>
              </w:rPr>
              <w:t xml:space="preserve">of the </w:t>
            </w:r>
            <w:r w:rsidRPr="00A2130D">
              <w:rPr>
                <w:spacing w:val="2"/>
                <w:sz w:val="24"/>
                <w:szCs w:val="24"/>
              </w:rPr>
              <w:t>current</w:t>
            </w:r>
            <w:r w:rsidRPr="00A2130D">
              <w:rPr>
                <w:spacing w:val="-11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year</w:t>
            </w:r>
            <w:r w:rsidRPr="00A2130D">
              <w:rPr>
                <w:spacing w:val="-8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and</w:t>
            </w:r>
            <w:r w:rsidRPr="00A2130D">
              <w:rPr>
                <w:spacing w:val="-10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the</w:t>
            </w:r>
            <w:r w:rsidRPr="00A2130D">
              <w:rPr>
                <w:spacing w:val="-10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previous</w:t>
            </w:r>
            <w:r w:rsidRPr="00A2130D">
              <w:rPr>
                <w:spacing w:val="-13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year.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2FC7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624A5" w:rsidRDefault="00F624A5" w:rsidP="00F624A5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National NHS Staff Survey Metrics </w:t>
            </w:r>
            <w:r>
              <w:rPr>
                <w:b/>
                <w:sz w:val="24"/>
                <w:szCs w:val="24"/>
              </w:rPr>
              <w:t>–</w:t>
            </w:r>
          </w:p>
          <w:p w:rsidR="00FF2FC7" w:rsidRPr="00A2130D" w:rsidRDefault="00F624A5" w:rsidP="00F624A5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 </w:t>
            </w:r>
            <w:r w:rsidRPr="00F624A5">
              <w:rPr>
                <w:b/>
                <w:sz w:val="24"/>
                <w:szCs w:val="24"/>
              </w:rPr>
              <w:t>For each of the following four Staff Survey Metrics, compare the responses for both Disabled and non- disabled staff.</w:t>
            </w:r>
          </w:p>
        </w:tc>
      </w:tr>
      <w:tr w:rsidR="00F624A5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624A5" w:rsidRPr="00A2130D" w:rsidRDefault="00F624A5" w:rsidP="00FF2FC7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ETRIC 4 - </w:t>
            </w:r>
            <w:r w:rsidRPr="00F624A5">
              <w:rPr>
                <w:sz w:val="24"/>
                <w:szCs w:val="24"/>
              </w:rPr>
              <w:t>(Staff Survey Q13)</w:t>
            </w:r>
          </w:p>
        </w:tc>
      </w:tr>
      <w:tr w:rsidR="00FF2FC7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F624A5" w:rsidRPr="00A2130D" w:rsidRDefault="00F624A5" w:rsidP="00F624A5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autoSpaceDE w:val="0"/>
              <w:autoSpaceDN w:val="0"/>
              <w:spacing w:line="242" w:lineRule="auto"/>
              <w:ind w:right="531" w:hanging="368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Percentage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of </w:t>
            </w:r>
            <w:r w:rsidRPr="00A2130D">
              <w:rPr>
                <w:b/>
                <w:sz w:val="24"/>
                <w:szCs w:val="24"/>
              </w:rPr>
              <w:t xml:space="preserve">Disabled staff compared </w:t>
            </w:r>
            <w:r w:rsidRPr="00A2130D">
              <w:rPr>
                <w:b/>
                <w:spacing w:val="2"/>
                <w:sz w:val="24"/>
                <w:szCs w:val="24"/>
              </w:rPr>
              <w:t xml:space="preserve">to </w:t>
            </w:r>
            <w:r w:rsidRPr="00A2130D">
              <w:rPr>
                <w:b/>
                <w:sz w:val="24"/>
                <w:szCs w:val="24"/>
              </w:rPr>
              <w:t xml:space="preserve">non-disabled staff experiencing harassment, bullying </w:t>
            </w:r>
            <w:r w:rsidRPr="00A2130D">
              <w:rPr>
                <w:b/>
                <w:spacing w:val="3"/>
                <w:sz w:val="24"/>
                <w:szCs w:val="24"/>
              </w:rPr>
              <w:t>or</w:t>
            </w:r>
            <w:r w:rsidRPr="00A2130D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>abuse from:</w:t>
            </w:r>
          </w:p>
          <w:p w:rsidR="00F624A5" w:rsidRPr="00A2130D" w:rsidRDefault="00F624A5" w:rsidP="00F624A5">
            <w:pPr>
              <w:pStyle w:val="TableParagraph"/>
              <w:numPr>
                <w:ilvl w:val="1"/>
                <w:numId w:val="15"/>
              </w:numPr>
              <w:tabs>
                <w:tab w:val="left" w:pos="1191"/>
                <w:tab w:val="left" w:pos="1192"/>
              </w:tabs>
              <w:autoSpaceDE w:val="0"/>
              <w:autoSpaceDN w:val="0"/>
              <w:spacing w:before="1" w:line="240" w:lineRule="auto"/>
              <w:ind w:right="0"/>
              <w:jc w:val="left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Patients/service</w:t>
            </w:r>
            <w:r w:rsidRPr="00A2130D">
              <w:rPr>
                <w:spacing w:val="-7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users,</w:t>
            </w:r>
            <w:r w:rsidRPr="00A2130D">
              <w:rPr>
                <w:spacing w:val="-7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their</w:t>
            </w:r>
            <w:r w:rsidRPr="00A2130D">
              <w:rPr>
                <w:spacing w:val="-4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relatives</w:t>
            </w:r>
            <w:r w:rsidRPr="00A2130D">
              <w:rPr>
                <w:spacing w:val="-9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or</w:t>
            </w:r>
            <w:r w:rsidRPr="00A2130D">
              <w:rPr>
                <w:spacing w:val="-4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other</w:t>
            </w:r>
            <w:r w:rsidRPr="00A2130D">
              <w:rPr>
                <w:spacing w:val="-20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members</w:t>
            </w:r>
            <w:r w:rsidRPr="00A2130D">
              <w:rPr>
                <w:spacing w:val="-10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of</w:t>
            </w:r>
            <w:r w:rsidRPr="00A2130D">
              <w:rPr>
                <w:spacing w:val="-7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the</w:t>
            </w:r>
            <w:r w:rsidRPr="00A2130D">
              <w:rPr>
                <w:spacing w:val="-6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public</w:t>
            </w:r>
          </w:p>
          <w:p w:rsidR="00F624A5" w:rsidRPr="00A2130D" w:rsidRDefault="00F624A5" w:rsidP="00F624A5">
            <w:pPr>
              <w:pStyle w:val="TableParagraph"/>
              <w:numPr>
                <w:ilvl w:val="1"/>
                <w:numId w:val="15"/>
              </w:numPr>
              <w:tabs>
                <w:tab w:val="left" w:pos="1191"/>
                <w:tab w:val="left" w:pos="1192"/>
              </w:tabs>
              <w:autoSpaceDE w:val="0"/>
              <w:autoSpaceDN w:val="0"/>
              <w:spacing w:before="35" w:line="240" w:lineRule="auto"/>
              <w:ind w:right="0"/>
              <w:jc w:val="left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Managers</w:t>
            </w:r>
          </w:p>
          <w:p w:rsidR="00F624A5" w:rsidRPr="00A2130D" w:rsidRDefault="00F624A5" w:rsidP="00F624A5">
            <w:pPr>
              <w:pStyle w:val="TableParagraph"/>
              <w:numPr>
                <w:ilvl w:val="1"/>
                <w:numId w:val="15"/>
              </w:numPr>
              <w:tabs>
                <w:tab w:val="left" w:pos="1191"/>
                <w:tab w:val="left" w:pos="1192"/>
              </w:tabs>
              <w:autoSpaceDE w:val="0"/>
              <w:autoSpaceDN w:val="0"/>
              <w:spacing w:before="36" w:line="240" w:lineRule="auto"/>
              <w:ind w:right="0"/>
              <w:jc w:val="left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Other</w:t>
            </w:r>
            <w:r w:rsidRPr="00A2130D">
              <w:rPr>
                <w:spacing w:val="-9"/>
                <w:sz w:val="24"/>
                <w:szCs w:val="24"/>
              </w:rPr>
              <w:t xml:space="preserve"> </w:t>
            </w:r>
            <w:r w:rsidRPr="00A2130D">
              <w:rPr>
                <w:sz w:val="24"/>
                <w:szCs w:val="24"/>
              </w:rPr>
              <w:t>colleagues</w:t>
            </w:r>
          </w:p>
          <w:p w:rsidR="00FF2FC7" w:rsidRPr="00A2130D" w:rsidRDefault="00F624A5" w:rsidP="00F624A5">
            <w:pPr>
              <w:pStyle w:val="TableParagraph"/>
              <w:spacing w:before="120" w:after="120" w:line="242" w:lineRule="auto"/>
              <w:ind w:left="113" w:right="4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Pr="00A2130D">
              <w:rPr>
                <w:b/>
                <w:sz w:val="24"/>
                <w:szCs w:val="24"/>
              </w:rPr>
              <w:t xml:space="preserve">Percentage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of </w:t>
            </w:r>
            <w:r w:rsidRPr="00A2130D">
              <w:rPr>
                <w:b/>
                <w:sz w:val="24"/>
                <w:szCs w:val="24"/>
              </w:rPr>
              <w:t xml:space="preserve">Disabled staff compared </w:t>
            </w:r>
            <w:r w:rsidRPr="00A2130D">
              <w:rPr>
                <w:b/>
                <w:spacing w:val="2"/>
                <w:sz w:val="24"/>
                <w:szCs w:val="24"/>
              </w:rPr>
              <w:t xml:space="preserve">to </w:t>
            </w:r>
            <w:r w:rsidRPr="00A2130D">
              <w:rPr>
                <w:b/>
                <w:sz w:val="24"/>
                <w:szCs w:val="24"/>
              </w:rPr>
              <w:t xml:space="preserve">non-disabled staff saying that the last time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they </w:t>
            </w:r>
            <w:r w:rsidRPr="00A2130D">
              <w:rPr>
                <w:b/>
                <w:sz w:val="24"/>
                <w:szCs w:val="24"/>
              </w:rPr>
              <w:t xml:space="preserve">experienced harassment, bullying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or </w:t>
            </w:r>
            <w:r w:rsidRPr="00A2130D">
              <w:rPr>
                <w:b/>
                <w:spacing w:val="-3"/>
                <w:sz w:val="24"/>
                <w:szCs w:val="24"/>
              </w:rPr>
              <w:t xml:space="preserve">abuse </w:t>
            </w:r>
            <w:r w:rsidRPr="00A2130D">
              <w:rPr>
                <w:b/>
                <w:sz w:val="24"/>
                <w:szCs w:val="24"/>
              </w:rPr>
              <w:t xml:space="preserve">at work, </w:t>
            </w:r>
            <w:r w:rsidRPr="00A2130D">
              <w:rPr>
                <w:b/>
                <w:spacing w:val="3"/>
                <w:sz w:val="24"/>
                <w:szCs w:val="24"/>
              </w:rPr>
              <w:t>they or</w:t>
            </w:r>
            <w:r w:rsidRPr="00A2130D">
              <w:rPr>
                <w:b/>
                <w:spacing w:val="-41"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>a colleague reported it</w:t>
            </w:r>
          </w:p>
        </w:tc>
      </w:tr>
      <w:tr w:rsidR="00FF2FC7" w:rsidRPr="00A2130D" w:rsidTr="00F624A5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F2FC7" w:rsidRPr="00A2130D" w:rsidRDefault="00FF2FC7" w:rsidP="00F624A5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5</w:t>
            </w:r>
            <w:r w:rsidR="00F624A5">
              <w:rPr>
                <w:b/>
                <w:sz w:val="24"/>
                <w:szCs w:val="24"/>
              </w:rPr>
              <w:t xml:space="preserve"> - </w:t>
            </w:r>
            <w:r w:rsidR="00F624A5" w:rsidRPr="00F624A5">
              <w:rPr>
                <w:sz w:val="24"/>
                <w:szCs w:val="24"/>
              </w:rPr>
              <w:t>(Staff Survey Q1</w:t>
            </w:r>
            <w:r w:rsidR="00F624A5">
              <w:rPr>
                <w:sz w:val="24"/>
                <w:szCs w:val="24"/>
              </w:rPr>
              <w:t>4</w:t>
            </w:r>
            <w:r w:rsidR="00F624A5" w:rsidRPr="00F624A5">
              <w:rPr>
                <w:sz w:val="24"/>
                <w:szCs w:val="24"/>
              </w:rPr>
              <w:t>)</w:t>
            </w:r>
          </w:p>
        </w:tc>
      </w:tr>
      <w:tr w:rsidR="00FF2FC7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FF2FC7" w:rsidRDefault="00F624A5" w:rsidP="00F624A5">
            <w:pPr>
              <w:pStyle w:val="TableParagraph"/>
              <w:spacing w:before="120" w:after="120" w:line="242" w:lineRule="auto"/>
              <w:ind w:left="113" w:right="431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Percentage of Disabled staff compared to non-disabled staff believing that the Trust provides equal opportunities for career progression or promotion.</w:t>
            </w:r>
          </w:p>
        </w:tc>
      </w:tr>
      <w:tr w:rsidR="00FF2FC7" w:rsidRPr="00A2130D" w:rsidTr="00F624A5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F2FC7" w:rsidRDefault="00FF2FC7" w:rsidP="00F624A5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METRIC 6 </w:t>
            </w:r>
            <w:r w:rsidR="00F624A5">
              <w:rPr>
                <w:b/>
                <w:sz w:val="24"/>
                <w:szCs w:val="24"/>
              </w:rPr>
              <w:t xml:space="preserve">- </w:t>
            </w:r>
            <w:r w:rsidR="00F624A5" w:rsidRPr="00F624A5">
              <w:rPr>
                <w:sz w:val="24"/>
                <w:szCs w:val="24"/>
              </w:rPr>
              <w:t>(Staff Survey Q1</w:t>
            </w:r>
            <w:r w:rsidR="00F624A5">
              <w:rPr>
                <w:sz w:val="24"/>
                <w:szCs w:val="24"/>
              </w:rPr>
              <w:t>1)</w:t>
            </w:r>
          </w:p>
        </w:tc>
      </w:tr>
      <w:tr w:rsidR="00F624A5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F624A5" w:rsidRDefault="00F624A5" w:rsidP="00F624A5">
            <w:pPr>
              <w:pStyle w:val="TableParagraph"/>
              <w:spacing w:before="120" w:after="120" w:line="242" w:lineRule="auto"/>
              <w:ind w:left="113" w:right="431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Percentage of Disabled staff compared to non-disabled staff saying that they have felt pressure from their manager to come to work, despite not feeling well enough to perform their duties.</w:t>
            </w:r>
          </w:p>
        </w:tc>
      </w:tr>
      <w:tr w:rsidR="00F624A5" w:rsidRPr="00A2130D" w:rsidTr="00F624A5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624A5" w:rsidRDefault="00F624A5" w:rsidP="00F624A5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METRIC 7 - </w:t>
            </w:r>
            <w:r>
              <w:rPr>
                <w:sz w:val="24"/>
                <w:szCs w:val="24"/>
              </w:rPr>
              <w:t>(Staff Survey Q5)</w:t>
            </w:r>
          </w:p>
        </w:tc>
      </w:tr>
      <w:tr w:rsidR="00F624A5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F624A5" w:rsidRDefault="00F624A5" w:rsidP="00F624A5">
            <w:pPr>
              <w:pStyle w:val="TableParagraph"/>
              <w:spacing w:before="120" w:after="120" w:line="242" w:lineRule="auto"/>
              <w:ind w:left="113" w:right="431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Percentage of Disabled staff compared to non-disabled staff saying that </w:t>
            </w:r>
            <w:r w:rsidRPr="00A2130D">
              <w:rPr>
                <w:b/>
                <w:sz w:val="24"/>
                <w:szCs w:val="24"/>
              </w:rPr>
              <w:lastRenderedPageBreak/>
              <w:t>they are satisfied with the extent to which their organisation values their work.</w:t>
            </w:r>
          </w:p>
        </w:tc>
      </w:tr>
      <w:tr w:rsidR="00F624A5" w:rsidRPr="00A2130D" w:rsidTr="00F624A5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F624A5" w:rsidRDefault="00F624A5" w:rsidP="00F624A5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METRIC 8 </w:t>
            </w:r>
            <w:r>
              <w:rPr>
                <w:sz w:val="24"/>
                <w:szCs w:val="24"/>
              </w:rPr>
              <w:t xml:space="preserve">(Staff Survey Q28b) – </w:t>
            </w:r>
          </w:p>
          <w:p w:rsidR="00F624A5" w:rsidRPr="00A2130D" w:rsidRDefault="00F624A5" w:rsidP="00F624A5">
            <w:pPr>
              <w:pStyle w:val="TableParagraph"/>
              <w:spacing w:before="120" w:after="120" w:line="242" w:lineRule="auto"/>
              <w:ind w:left="113" w:right="4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NB </w:t>
            </w:r>
            <w:r w:rsidRPr="00A2130D">
              <w:rPr>
                <w:b/>
                <w:sz w:val="24"/>
                <w:szCs w:val="24"/>
              </w:rPr>
              <w:t>only includes the responses of Disabled staff</w:t>
            </w:r>
          </w:p>
        </w:tc>
      </w:tr>
      <w:tr w:rsidR="00F624A5" w:rsidRPr="00A2130D" w:rsidTr="000506AA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F624A5" w:rsidRPr="00A2130D" w:rsidRDefault="00F624A5" w:rsidP="00F624A5">
            <w:pPr>
              <w:pStyle w:val="TableParagraph"/>
              <w:spacing w:before="120" w:after="120" w:line="242" w:lineRule="auto"/>
              <w:ind w:left="113" w:right="431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Percentage of Disabled staff saying that their employer has made adequate adjustment(s) to enable them to carry out their work.</w:t>
            </w:r>
          </w:p>
        </w:tc>
      </w:tr>
      <w:tr w:rsidR="000506AA" w:rsidRPr="00A2130D" w:rsidTr="000506AA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0506AA" w:rsidRPr="00A2130D" w:rsidRDefault="000506AA" w:rsidP="000506AA">
            <w:pPr>
              <w:pStyle w:val="TableParagraph"/>
              <w:spacing w:line="316" w:lineRule="exact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METRIC 9 - </w:t>
            </w:r>
            <w:r w:rsidRPr="00A2130D">
              <w:rPr>
                <w:b/>
                <w:sz w:val="24"/>
                <w:szCs w:val="24"/>
              </w:rPr>
              <w:t>NHS Staff Survey and the engagement of Disabled staff</w:t>
            </w:r>
          </w:p>
          <w:p w:rsidR="000506AA" w:rsidRPr="00A2130D" w:rsidRDefault="000506AA" w:rsidP="000506AA">
            <w:pPr>
              <w:pStyle w:val="TableParagraph"/>
              <w:spacing w:before="52" w:line="288" w:lineRule="auto"/>
              <w:ind w:left="102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For part a) of the following Metric, compare the staff engagement scores for Disabled, non-disabled staff and the overall Trust’s score</w:t>
            </w:r>
          </w:p>
          <w:p w:rsidR="000506AA" w:rsidRPr="00A2130D" w:rsidRDefault="000506AA" w:rsidP="000506AA">
            <w:pPr>
              <w:pStyle w:val="TableParagraph"/>
              <w:spacing w:before="120" w:after="120" w:line="242" w:lineRule="auto"/>
              <w:ind w:left="113" w:right="431"/>
              <w:rPr>
                <w:b/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For part b) add evidence to the Trust’s WDES Annual Report</w:t>
            </w:r>
          </w:p>
        </w:tc>
      </w:tr>
      <w:tr w:rsidR="000506AA" w:rsidRPr="00A2130D" w:rsidTr="00FF2FC7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auto"/>
          </w:tcPr>
          <w:p w:rsidR="000506AA" w:rsidRPr="00A2130D" w:rsidRDefault="000506AA" w:rsidP="000506AA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autoSpaceDE w:val="0"/>
              <w:autoSpaceDN w:val="0"/>
              <w:spacing w:before="15" w:line="273" w:lineRule="auto"/>
              <w:ind w:right="205" w:hanging="368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The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staff </w:t>
            </w:r>
            <w:r w:rsidRPr="00A2130D">
              <w:rPr>
                <w:b/>
                <w:sz w:val="24"/>
                <w:szCs w:val="24"/>
              </w:rPr>
              <w:t xml:space="preserve">engagement score for Disabled staff, compared </w:t>
            </w:r>
            <w:r w:rsidRPr="00A2130D">
              <w:rPr>
                <w:b/>
                <w:spacing w:val="2"/>
                <w:sz w:val="24"/>
                <w:szCs w:val="24"/>
              </w:rPr>
              <w:t xml:space="preserve">to </w:t>
            </w:r>
            <w:r w:rsidRPr="00A2130D">
              <w:rPr>
                <w:b/>
                <w:sz w:val="24"/>
                <w:szCs w:val="24"/>
              </w:rPr>
              <w:t xml:space="preserve">non-disabled </w:t>
            </w:r>
            <w:r w:rsidRPr="00A2130D">
              <w:rPr>
                <w:b/>
                <w:spacing w:val="3"/>
                <w:sz w:val="24"/>
                <w:szCs w:val="24"/>
              </w:rPr>
              <w:t>staff and</w:t>
            </w:r>
            <w:r w:rsidRPr="00A2130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130D">
              <w:rPr>
                <w:b/>
                <w:spacing w:val="3"/>
                <w:sz w:val="24"/>
                <w:szCs w:val="24"/>
              </w:rPr>
              <w:t>the</w:t>
            </w:r>
            <w:r w:rsidRPr="00A2130D">
              <w:rPr>
                <w:b/>
                <w:spacing w:val="7"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>overall</w:t>
            </w:r>
            <w:r w:rsidRPr="00A2130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>engagement</w:t>
            </w:r>
            <w:r w:rsidRPr="00A2130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2130D">
              <w:rPr>
                <w:b/>
                <w:spacing w:val="-3"/>
                <w:sz w:val="24"/>
                <w:szCs w:val="24"/>
              </w:rPr>
              <w:t>score</w:t>
            </w:r>
            <w:r w:rsidRPr="00A213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2130D">
              <w:rPr>
                <w:b/>
                <w:spacing w:val="3"/>
                <w:sz w:val="24"/>
                <w:szCs w:val="24"/>
              </w:rPr>
              <w:t>for</w:t>
            </w:r>
            <w:r w:rsidRPr="00A213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>the</w:t>
            </w:r>
            <w:r w:rsidRPr="00A213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>organisation.</w:t>
            </w:r>
          </w:p>
          <w:p w:rsidR="000506AA" w:rsidRPr="00A2130D" w:rsidRDefault="000506AA" w:rsidP="000506A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0506AA" w:rsidRPr="00A2130D" w:rsidRDefault="000506AA" w:rsidP="000506AA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autoSpaceDE w:val="0"/>
              <w:autoSpaceDN w:val="0"/>
              <w:spacing w:line="273" w:lineRule="auto"/>
              <w:ind w:right="588" w:hanging="368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Has your Trust </w:t>
            </w:r>
            <w:r w:rsidRPr="00A2130D">
              <w:rPr>
                <w:b/>
                <w:spacing w:val="2"/>
                <w:sz w:val="24"/>
                <w:szCs w:val="24"/>
              </w:rPr>
              <w:t xml:space="preserve">taken </w:t>
            </w:r>
            <w:r w:rsidRPr="00A2130D">
              <w:rPr>
                <w:b/>
                <w:sz w:val="24"/>
                <w:szCs w:val="24"/>
              </w:rPr>
              <w:t xml:space="preserve">action </w:t>
            </w:r>
            <w:r w:rsidRPr="00A2130D">
              <w:rPr>
                <w:b/>
                <w:spacing w:val="2"/>
                <w:sz w:val="24"/>
                <w:szCs w:val="24"/>
              </w:rPr>
              <w:t xml:space="preserve">to </w:t>
            </w:r>
            <w:r w:rsidRPr="00A2130D">
              <w:rPr>
                <w:b/>
                <w:spacing w:val="-3"/>
                <w:sz w:val="24"/>
                <w:szCs w:val="24"/>
              </w:rPr>
              <w:t xml:space="preserve">facilitate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the </w:t>
            </w:r>
            <w:r w:rsidRPr="00A2130D">
              <w:rPr>
                <w:b/>
                <w:sz w:val="24"/>
                <w:szCs w:val="24"/>
              </w:rPr>
              <w:t xml:space="preserve">voices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of </w:t>
            </w:r>
            <w:r w:rsidRPr="00A2130D">
              <w:rPr>
                <w:b/>
                <w:sz w:val="24"/>
                <w:szCs w:val="24"/>
              </w:rPr>
              <w:t xml:space="preserve">Disabled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staff </w:t>
            </w:r>
            <w:r w:rsidRPr="00A2130D">
              <w:rPr>
                <w:b/>
                <w:sz w:val="24"/>
                <w:szCs w:val="24"/>
              </w:rPr>
              <w:t xml:space="preserve">in your organisation </w:t>
            </w:r>
            <w:r w:rsidRPr="00A2130D">
              <w:rPr>
                <w:b/>
                <w:spacing w:val="2"/>
                <w:sz w:val="24"/>
                <w:szCs w:val="24"/>
              </w:rPr>
              <w:t xml:space="preserve">to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be </w:t>
            </w:r>
            <w:r w:rsidRPr="00A2130D">
              <w:rPr>
                <w:b/>
                <w:sz w:val="24"/>
                <w:szCs w:val="24"/>
              </w:rPr>
              <w:t>heard?</w:t>
            </w:r>
            <w:r w:rsidRPr="00A2130D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A2130D">
              <w:rPr>
                <w:b/>
                <w:sz w:val="24"/>
                <w:szCs w:val="24"/>
              </w:rPr>
              <w:t xml:space="preserve">(Yes) </w:t>
            </w:r>
            <w:r w:rsidRPr="00A2130D">
              <w:rPr>
                <w:b/>
                <w:spacing w:val="3"/>
                <w:sz w:val="24"/>
                <w:szCs w:val="24"/>
              </w:rPr>
              <w:t xml:space="preserve">or </w:t>
            </w:r>
            <w:r w:rsidRPr="00A2130D">
              <w:rPr>
                <w:b/>
                <w:spacing w:val="2"/>
                <w:sz w:val="24"/>
                <w:szCs w:val="24"/>
              </w:rPr>
              <w:t>(No)</w:t>
            </w:r>
          </w:p>
          <w:p w:rsidR="000506AA" w:rsidRPr="00A2130D" w:rsidRDefault="000506AA" w:rsidP="000506AA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0506AA" w:rsidRPr="00A2130D" w:rsidRDefault="000506AA" w:rsidP="000506A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>Note: For your Trust’s response to b)</w:t>
            </w:r>
          </w:p>
          <w:p w:rsidR="000506AA" w:rsidRPr="00A2130D" w:rsidRDefault="000506AA" w:rsidP="000506AA">
            <w:pPr>
              <w:pStyle w:val="TableParagraph"/>
              <w:spacing w:before="120" w:after="120" w:line="242" w:lineRule="auto"/>
              <w:ind w:left="113" w:right="431"/>
              <w:rPr>
                <w:b/>
                <w:sz w:val="24"/>
                <w:szCs w:val="24"/>
              </w:rPr>
            </w:pPr>
            <w:r w:rsidRPr="00A2130D">
              <w:rPr>
                <w:b/>
                <w:sz w:val="24"/>
                <w:szCs w:val="24"/>
              </w:rPr>
              <w:t xml:space="preserve">If yes, </w:t>
            </w:r>
            <w:r w:rsidRPr="00A2130D">
              <w:rPr>
                <w:sz w:val="24"/>
                <w:szCs w:val="24"/>
              </w:rPr>
              <w:t xml:space="preserve">please provide at least one practical example of current action being taken in the relevant section of your WDES annual report. </w:t>
            </w:r>
            <w:r w:rsidRPr="00A2130D">
              <w:rPr>
                <w:b/>
                <w:sz w:val="24"/>
                <w:szCs w:val="24"/>
              </w:rPr>
              <w:t>If no</w:t>
            </w:r>
            <w:r w:rsidRPr="00A2130D">
              <w:rPr>
                <w:sz w:val="24"/>
                <w:szCs w:val="24"/>
              </w:rPr>
              <w:t>, please include what action is planned to address this gap in your WDES annual report. Examples are listed in the WDES technical guidance.</w:t>
            </w:r>
          </w:p>
        </w:tc>
      </w:tr>
      <w:tr w:rsidR="000506AA" w:rsidRPr="00A2130D" w:rsidTr="000506AA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0506AA" w:rsidRDefault="000506AA" w:rsidP="000506AA">
            <w:pPr>
              <w:pStyle w:val="TableParagraph"/>
              <w:tabs>
                <w:tab w:val="left" w:pos="471"/>
              </w:tabs>
              <w:autoSpaceDE w:val="0"/>
              <w:autoSpaceDN w:val="0"/>
              <w:spacing w:before="15" w:line="273" w:lineRule="auto"/>
              <w:ind w:left="470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METRIC 10 </w:t>
            </w:r>
          </w:p>
          <w:p w:rsidR="000506AA" w:rsidRPr="00A2130D" w:rsidRDefault="000506AA" w:rsidP="000506AA">
            <w:pPr>
              <w:pStyle w:val="TableParagraph"/>
              <w:tabs>
                <w:tab w:val="left" w:pos="471"/>
              </w:tabs>
              <w:autoSpaceDE w:val="0"/>
              <w:autoSpaceDN w:val="0"/>
              <w:spacing w:before="15" w:line="273" w:lineRule="auto"/>
              <w:ind w:left="470" w:right="20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2130D">
              <w:rPr>
                <w:sz w:val="24"/>
                <w:szCs w:val="24"/>
              </w:rPr>
              <w:t>ompare the difference for Disabled / non-disabled staff.</w:t>
            </w:r>
          </w:p>
        </w:tc>
      </w:tr>
      <w:tr w:rsidR="000506AA" w:rsidRPr="00A2130D" w:rsidTr="000506AA">
        <w:trPr>
          <w:trHeight w:val="406"/>
        </w:trPr>
        <w:tc>
          <w:tcPr>
            <w:tcW w:w="9072" w:type="dxa"/>
            <w:shd w:val="clear" w:color="auto" w:fill="auto"/>
          </w:tcPr>
          <w:p w:rsidR="000506AA" w:rsidRDefault="000506AA" w:rsidP="000506AA">
            <w:pPr>
              <w:pStyle w:val="TableParagraph"/>
              <w:spacing w:before="120" w:line="242" w:lineRule="auto"/>
              <w:ind w:right="123"/>
              <w:rPr>
                <w:sz w:val="24"/>
                <w:szCs w:val="24"/>
              </w:rPr>
            </w:pPr>
            <w:r w:rsidRPr="00A2130D">
              <w:rPr>
                <w:sz w:val="24"/>
                <w:szCs w:val="24"/>
              </w:rPr>
              <w:t>Percentage difference between the organisation</w:t>
            </w:r>
            <w:r w:rsidR="00FA128C">
              <w:rPr>
                <w:sz w:val="24"/>
                <w:szCs w:val="24"/>
              </w:rPr>
              <w:t>s’</w:t>
            </w:r>
            <w:r w:rsidRPr="00A2130D">
              <w:rPr>
                <w:sz w:val="24"/>
                <w:szCs w:val="24"/>
              </w:rPr>
              <w:t xml:space="preserve"> Board voting membership and its organisations</w:t>
            </w:r>
            <w:r w:rsidR="00FA128C">
              <w:rPr>
                <w:sz w:val="24"/>
                <w:szCs w:val="24"/>
              </w:rPr>
              <w:t>’</w:t>
            </w:r>
            <w:r w:rsidRPr="00A2130D">
              <w:rPr>
                <w:sz w:val="24"/>
                <w:szCs w:val="24"/>
              </w:rPr>
              <w:t xml:space="preserve"> overall workforce, disaggregated</w:t>
            </w:r>
            <w:r>
              <w:rPr>
                <w:sz w:val="24"/>
                <w:szCs w:val="24"/>
              </w:rPr>
              <w:t xml:space="preserve"> by</w:t>
            </w:r>
            <w:r w:rsidRPr="00A2130D">
              <w:rPr>
                <w:sz w:val="24"/>
                <w:szCs w:val="24"/>
              </w:rPr>
              <w:t>:</w:t>
            </w:r>
          </w:p>
          <w:p w:rsidR="000506AA" w:rsidRPr="00A2130D" w:rsidRDefault="000506AA" w:rsidP="000506AA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autoSpaceDE w:val="0"/>
              <w:autoSpaceDN w:val="0"/>
              <w:spacing w:before="120" w:line="263" w:lineRule="exact"/>
              <w:ind w:right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Pr="00A2130D">
              <w:rPr>
                <w:spacing w:val="-3"/>
                <w:sz w:val="24"/>
                <w:szCs w:val="24"/>
              </w:rPr>
              <w:t xml:space="preserve">By </w:t>
            </w:r>
            <w:r w:rsidRPr="00A2130D">
              <w:rPr>
                <w:sz w:val="24"/>
                <w:szCs w:val="24"/>
              </w:rPr>
              <w:t>voting membership of the</w:t>
            </w:r>
            <w:r w:rsidRPr="00A2130D">
              <w:rPr>
                <w:spacing w:val="-36"/>
                <w:sz w:val="24"/>
                <w:szCs w:val="24"/>
              </w:rPr>
              <w:t xml:space="preserve"> </w:t>
            </w:r>
            <w:r w:rsidRPr="00A2130D">
              <w:rPr>
                <w:spacing w:val="3"/>
                <w:sz w:val="24"/>
                <w:szCs w:val="24"/>
              </w:rPr>
              <w:t>Board.</w:t>
            </w:r>
          </w:p>
          <w:p w:rsidR="000506AA" w:rsidRPr="00A2130D" w:rsidRDefault="000506AA" w:rsidP="000506AA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autoSpaceDE w:val="0"/>
              <w:autoSpaceDN w:val="0"/>
              <w:spacing w:before="120" w:line="273" w:lineRule="auto"/>
              <w:ind w:right="205"/>
              <w:rPr>
                <w:b/>
                <w:sz w:val="24"/>
                <w:szCs w:val="24"/>
              </w:rPr>
            </w:pPr>
            <w:r w:rsidRPr="00A2130D">
              <w:rPr>
                <w:spacing w:val="-3"/>
                <w:sz w:val="24"/>
                <w:szCs w:val="24"/>
              </w:rPr>
              <w:t xml:space="preserve">By </w:t>
            </w:r>
            <w:r w:rsidRPr="00A2130D">
              <w:rPr>
                <w:sz w:val="24"/>
                <w:szCs w:val="24"/>
              </w:rPr>
              <w:t>Executive membership of the</w:t>
            </w:r>
            <w:r w:rsidRPr="00A2130D">
              <w:rPr>
                <w:spacing w:val="-38"/>
                <w:sz w:val="24"/>
                <w:szCs w:val="24"/>
              </w:rPr>
              <w:t xml:space="preserve"> </w:t>
            </w:r>
            <w:r w:rsidRPr="00A2130D">
              <w:rPr>
                <w:spacing w:val="3"/>
                <w:sz w:val="24"/>
                <w:szCs w:val="24"/>
              </w:rPr>
              <w:t>Board.</w:t>
            </w:r>
          </w:p>
        </w:tc>
      </w:tr>
      <w:tr w:rsidR="000506AA" w:rsidRPr="00A2130D" w:rsidTr="000506AA">
        <w:trPr>
          <w:trHeight w:val="406"/>
        </w:trPr>
        <w:tc>
          <w:tcPr>
            <w:tcW w:w="9072" w:type="dxa"/>
            <w:tcBorders>
              <w:bottom w:val="single" w:sz="8" w:space="0" w:color="006FC0"/>
            </w:tcBorders>
            <w:shd w:val="clear" w:color="auto" w:fill="C6D9F1" w:themeFill="text2" w:themeFillTint="33"/>
          </w:tcPr>
          <w:p w:rsidR="000506AA" w:rsidRPr="00A2130D" w:rsidRDefault="000506AA" w:rsidP="000506AA">
            <w:pPr>
              <w:pStyle w:val="TableParagraph"/>
              <w:spacing w:before="120" w:line="242" w:lineRule="auto"/>
              <w:ind w:right="123"/>
              <w:rPr>
                <w:sz w:val="24"/>
                <w:szCs w:val="24"/>
              </w:rPr>
            </w:pPr>
          </w:p>
        </w:tc>
      </w:tr>
    </w:tbl>
    <w:p w:rsidR="00114C36" w:rsidRPr="00A2130D" w:rsidRDefault="000506AA" w:rsidP="00FA128C">
      <w:pPr>
        <w:spacing w:before="240" w:after="225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w w:val="105"/>
          <w:sz w:val="24"/>
          <w:szCs w:val="24"/>
        </w:rPr>
        <w:t xml:space="preserve">From this </w:t>
      </w:r>
      <w:r w:rsidRPr="00A2130D">
        <w:rPr>
          <w:rFonts w:ascii="Arial" w:hAnsi="Arial" w:cs="Arial"/>
          <w:sz w:val="24"/>
          <w:szCs w:val="24"/>
          <w:lang w:eastAsia="en-GB"/>
        </w:rPr>
        <w:t>Trust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Pr="00A2130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can </w:t>
      </w:r>
      <w:r w:rsidRPr="00A2130D">
        <w:rPr>
          <w:rFonts w:ascii="Arial" w:hAnsi="Arial" w:cs="Arial"/>
          <w:sz w:val="24"/>
          <w:szCs w:val="24"/>
          <w:lang w:eastAsia="en-GB"/>
        </w:rPr>
        <w:t xml:space="preserve">compare the experiences of disabled and non-disabled staff, </w:t>
      </w:r>
      <w:r w:rsidR="002B0FCC">
        <w:rPr>
          <w:rFonts w:ascii="Arial" w:hAnsi="Arial" w:cs="Arial"/>
          <w:sz w:val="24"/>
          <w:szCs w:val="24"/>
          <w:lang w:eastAsia="en-GB"/>
        </w:rPr>
        <w:t xml:space="preserve">then </w:t>
      </w:r>
      <w:r w:rsidRPr="00A2130D">
        <w:rPr>
          <w:rFonts w:ascii="Arial" w:hAnsi="Arial" w:cs="Arial"/>
          <w:sz w:val="24"/>
          <w:szCs w:val="24"/>
          <w:lang w:eastAsia="en-GB"/>
        </w:rPr>
        <w:t>develop a local action plan and</w:t>
      </w:r>
      <w:r>
        <w:rPr>
          <w:rFonts w:ascii="Arial" w:hAnsi="Arial" w:cs="Arial"/>
          <w:sz w:val="24"/>
          <w:szCs w:val="24"/>
          <w:lang w:eastAsia="en-GB"/>
        </w:rPr>
        <w:t xml:space="preserve"> map </w:t>
      </w:r>
      <w:r w:rsidRPr="00A2130D">
        <w:rPr>
          <w:rFonts w:ascii="Arial" w:hAnsi="Arial" w:cs="Arial"/>
          <w:sz w:val="24"/>
          <w:szCs w:val="24"/>
          <w:lang w:eastAsia="en-GB"/>
        </w:rPr>
        <w:t xml:space="preserve">progress. </w:t>
      </w:r>
      <w:r w:rsidR="00114C36" w:rsidRPr="00A2130D">
        <w:rPr>
          <w:rFonts w:ascii="Arial" w:hAnsi="Arial" w:cs="Arial"/>
          <w:w w:val="105"/>
          <w:sz w:val="24"/>
          <w:szCs w:val="24"/>
        </w:rPr>
        <w:t xml:space="preserve">The Trust </w:t>
      </w:r>
      <w:r>
        <w:rPr>
          <w:rFonts w:ascii="Arial" w:hAnsi="Arial" w:cs="Arial"/>
          <w:w w:val="105"/>
          <w:sz w:val="24"/>
          <w:szCs w:val="24"/>
        </w:rPr>
        <w:t xml:space="preserve">has </w:t>
      </w:r>
      <w:r w:rsidR="00114C36" w:rsidRPr="00A2130D">
        <w:rPr>
          <w:rFonts w:ascii="Arial" w:hAnsi="Arial" w:cs="Arial"/>
          <w:w w:val="105"/>
          <w:sz w:val="24"/>
          <w:szCs w:val="24"/>
        </w:rPr>
        <w:t>to demonstrate progress against these indicators of disability equality</w:t>
      </w:r>
      <w:r>
        <w:rPr>
          <w:rFonts w:ascii="Arial" w:hAnsi="Arial" w:cs="Arial"/>
          <w:w w:val="105"/>
          <w:sz w:val="24"/>
          <w:szCs w:val="24"/>
        </w:rPr>
        <w:t xml:space="preserve">. </w:t>
      </w:r>
    </w:p>
    <w:p w:rsidR="00D12178" w:rsidRPr="00A2130D" w:rsidRDefault="00114C36" w:rsidP="00C579F1">
      <w:pPr>
        <w:pStyle w:val="BodyText"/>
        <w:spacing w:after="240" w:line="276" w:lineRule="auto"/>
        <w:ind w:right="-17"/>
        <w:rPr>
          <w:rFonts w:ascii="Arial" w:hAnsi="Arial" w:cs="Arial"/>
          <w:w w:val="105"/>
        </w:rPr>
      </w:pPr>
      <w:r w:rsidRPr="00A2130D">
        <w:rPr>
          <w:rFonts w:ascii="Arial" w:hAnsi="Arial" w:cs="Arial"/>
          <w:b/>
          <w:w w:val="105"/>
        </w:rPr>
        <w:t>NHS National Report on W</w:t>
      </w:r>
      <w:r w:rsidR="008A5D07" w:rsidRPr="00A2130D">
        <w:rPr>
          <w:rFonts w:ascii="Arial" w:hAnsi="Arial" w:cs="Arial"/>
          <w:b/>
          <w:w w:val="105"/>
        </w:rPr>
        <w:t>D</w:t>
      </w:r>
      <w:r w:rsidRPr="00A2130D">
        <w:rPr>
          <w:rFonts w:ascii="Arial" w:hAnsi="Arial" w:cs="Arial"/>
          <w:b/>
          <w:w w:val="105"/>
        </w:rPr>
        <w:t xml:space="preserve">ES data submissions – </w:t>
      </w:r>
      <w:r w:rsidR="000506AA">
        <w:rPr>
          <w:rFonts w:ascii="Arial" w:hAnsi="Arial" w:cs="Arial"/>
          <w:b/>
          <w:w w:val="105"/>
        </w:rPr>
        <w:t xml:space="preserve">Learning and Benchmarking. </w:t>
      </w:r>
      <w:r w:rsidR="000506AA">
        <w:rPr>
          <w:rFonts w:ascii="Arial" w:hAnsi="Arial" w:cs="Arial"/>
          <w:w w:val="105"/>
        </w:rPr>
        <w:t xml:space="preserve"> All Trusts submit </w:t>
      </w:r>
      <w:r w:rsidR="00D12178" w:rsidRPr="00A2130D">
        <w:rPr>
          <w:rFonts w:ascii="Arial" w:hAnsi="Arial" w:cs="Arial"/>
          <w:w w:val="105"/>
        </w:rPr>
        <w:t xml:space="preserve">WDES </w:t>
      </w:r>
      <w:r w:rsidR="008A5D07" w:rsidRPr="00A2130D">
        <w:rPr>
          <w:rFonts w:ascii="Arial" w:hAnsi="Arial" w:cs="Arial"/>
          <w:w w:val="105"/>
        </w:rPr>
        <w:t xml:space="preserve">Data on a national NHS data base </w:t>
      </w:r>
      <w:r w:rsidR="000506AA">
        <w:rPr>
          <w:rFonts w:ascii="Arial" w:hAnsi="Arial" w:cs="Arial"/>
          <w:w w:val="105"/>
        </w:rPr>
        <w:t>for</w:t>
      </w:r>
      <w:r w:rsidR="008A5D07" w:rsidRPr="00A2130D">
        <w:rPr>
          <w:rFonts w:ascii="Arial" w:hAnsi="Arial" w:cs="Arial"/>
          <w:w w:val="105"/>
        </w:rPr>
        <w:t xml:space="preserve"> </w:t>
      </w:r>
      <w:r w:rsidR="000506AA">
        <w:rPr>
          <w:rFonts w:ascii="Arial" w:hAnsi="Arial" w:cs="Arial"/>
          <w:w w:val="105"/>
        </w:rPr>
        <w:t xml:space="preserve">local and </w:t>
      </w:r>
      <w:r w:rsidR="008A5D07" w:rsidRPr="00A2130D">
        <w:rPr>
          <w:rFonts w:ascii="Arial" w:hAnsi="Arial" w:cs="Arial"/>
          <w:w w:val="105"/>
        </w:rPr>
        <w:t xml:space="preserve">national reporting, comparison and benchmarking of </w:t>
      </w:r>
      <w:r w:rsidR="000506AA" w:rsidRPr="00A2130D">
        <w:rPr>
          <w:rFonts w:ascii="Arial" w:hAnsi="Arial" w:cs="Arial"/>
          <w:lang w:eastAsia="en-GB"/>
        </w:rPr>
        <w:t>NHS dis</w:t>
      </w:r>
      <w:r w:rsidR="000506AA">
        <w:rPr>
          <w:rFonts w:ascii="Arial" w:hAnsi="Arial" w:cs="Arial"/>
          <w:lang w:eastAsia="en-GB"/>
        </w:rPr>
        <w:t>ability equality performance</w:t>
      </w:r>
      <w:r w:rsidR="000506AA" w:rsidRPr="00A2130D">
        <w:rPr>
          <w:rFonts w:ascii="Arial" w:hAnsi="Arial" w:cs="Arial"/>
          <w:w w:val="105"/>
        </w:rPr>
        <w:t xml:space="preserve"> </w:t>
      </w:r>
      <w:r w:rsidR="008A5D07" w:rsidRPr="00A2130D">
        <w:rPr>
          <w:rFonts w:ascii="Arial" w:hAnsi="Arial" w:cs="Arial"/>
          <w:w w:val="105"/>
        </w:rPr>
        <w:t xml:space="preserve">and progress. </w:t>
      </w:r>
    </w:p>
    <w:p w:rsidR="00114C36" w:rsidRPr="00A2130D" w:rsidRDefault="008A5D07" w:rsidP="00C579F1">
      <w:pPr>
        <w:pStyle w:val="BodyText"/>
        <w:spacing w:after="240" w:line="276" w:lineRule="auto"/>
        <w:ind w:right="-17"/>
        <w:rPr>
          <w:rFonts w:ascii="Arial" w:hAnsi="Arial" w:cs="Arial"/>
          <w:w w:val="105"/>
        </w:rPr>
      </w:pPr>
      <w:r w:rsidRPr="00A2130D">
        <w:rPr>
          <w:rFonts w:ascii="Arial" w:hAnsi="Arial" w:cs="Arial"/>
          <w:w w:val="105"/>
        </w:rPr>
        <w:t>The</w:t>
      </w:r>
      <w:r w:rsidR="00114C36" w:rsidRPr="00A2130D">
        <w:rPr>
          <w:rFonts w:ascii="Arial" w:hAnsi="Arial" w:cs="Arial"/>
          <w:w w:val="105"/>
        </w:rPr>
        <w:t xml:space="preserve"> National Report </w:t>
      </w:r>
      <w:r w:rsidR="000506AA">
        <w:rPr>
          <w:rFonts w:ascii="Arial" w:hAnsi="Arial" w:cs="Arial"/>
          <w:w w:val="105"/>
        </w:rPr>
        <w:t xml:space="preserve">helps </w:t>
      </w:r>
      <w:r w:rsidR="00D12178" w:rsidRPr="00A2130D">
        <w:rPr>
          <w:rFonts w:ascii="Arial" w:hAnsi="Arial" w:cs="Arial"/>
          <w:w w:val="105"/>
        </w:rPr>
        <w:t xml:space="preserve">position the </w:t>
      </w:r>
      <w:r w:rsidRPr="00A2130D">
        <w:rPr>
          <w:rFonts w:ascii="Arial" w:hAnsi="Arial" w:cs="Arial"/>
          <w:w w:val="105"/>
        </w:rPr>
        <w:t xml:space="preserve">Trust nationally, by Acute Trusts and by Region. </w:t>
      </w:r>
      <w:r w:rsidR="000506AA">
        <w:rPr>
          <w:rFonts w:ascii="Arial" w:hAnsi="Arial" w:cs="Arial"/>
          <w:w w:val="105"/>
        </w:rPr>
        <w:t>For the NHS and Trust this opens up</w:t>
      </w:r>
      <w:r w:rsidRPr="00A2130D">
        <w:rPr>
          <w:rFonts w:ascii="Arial" w:hAnsi="Arial" w:cs="Arial"/>
          <w:w w:val="105"/>
        </w:rPr>
        <w:t xml:space="preserve"> discussion and encourage</w:t>
      </w:r>
      <w:r w:rsidR="000506AA">
        <w:rPr>
          <w:rFonts w:ascii="Arial" w:hAnsi="Arial" w:cs="Arial"/>
          <w:w w:val="105"/>
        </w:rPr>
        <w:t>s</w:t>
      </w:r>
      <w:r w:rsidRPr="00A2130D">
        <w:rPr>
          <w:rFonts w:ascii="Arial" w:hAnsi="Arial" w:cs="Arial"/>
          <w:w w:val="105"/>
        </w:rPr>
        <w:t xml:space="preserve"> good practice. </w:t>
      </w:r>
      <w:r w:rsidR="00114C36" w:rsidRPr="00A2130D">
        <w:rPr>
          <w:rFonts w:ascii="Arial" w:hAnsi="Arial" w:cs="Arial"/>
          <w:w w:val="105"/>
        </w:rPr>
        <w:t xml:space="preserve">Data comparison and publication </w:t>
      </w:r>
      <w:r w:rsidRPr="00A2130D">
        <w:rPr>
          <w:rFonts w:ascii="Arial" w:hAnsi="Arial" w:cs="Arial"/>
          <w:w w:val="105"/>
        </w:rPr>
        <w:t>nationally is</w:t>
      </w:r>
      <w:r w:rsidR="00114C36" w:rsidRPr="00A2130D">
        <w:rPr>
          <w:rFonts w:ascii="Arial" w:hAnsi="Arial" w:cs="Arial"/>
          <w:w w:val="105"/>
        </w:rPr>
        <w:t xml:space="preserve"> intended to </w:t>
      </w:r>
      <w:r w:rsidR="00D12178" w:rsidRPr="00A2130D">
        <w:rPr>
          <w:rFonts w:ascii="Arial" w:hAnsi="Arial" w:cs="Arial"/>
          <w:w w:val="105"/>
        </w:rPr>
        <w:t xml:space="preserve">give </w:t>
      </w:r>
      <w:r w:rsidR="00D12178" w:rsidRPr="00A2130D">
        <w:rPr>
          <w:rFonts w:ascii="Arial" w:hAnsi="Arial" w:cs="Arial"/>
          <w:w w:val="105"/>
        </w:rPr>
        <w:lastRenderedPageBreak/>
        <w:t xml:space="preserve">transparency, to </w:t>
      </w:r>
      <w:r w:rsidR="00114C36" w:rsidRPr="00A2130D">
        <w:rPr>
          <w:rFonts w:ascii="Arial" w:hAnsi="Arial" w:cs="Arial"/>
          <w:w w:val="105"/>
        </w:rPr>
        <w:t xml:space="preserve">assist peer support between Trusts, </w:t>
      </w:r>
      <w:r w:rsidR="00D12178" w:rsidRPr="00A2130D">
        <w:rPr>
          <w:rFonts w:ascii="Arial" w:hAnsi="Arial" w:cs="Arial"/>
          <w:w w:val="105"/>
        </w:rPr>
        <w:t xml:space="preserve">to </w:t>
      </w:r>
      <w:r w:rsidR="00114C36" w:rsidRPr="00A2130D">
        <w:rPr>
          <w:rFonts w:ascii="Arial" w:hAnsi="Arial" w:cs="Arial"/>
          <w:w w:val="105"/>
        </w:rPr>
        <w:t>lead to inquiry into causes of issues or data patterns and to assist the national W</w:t>
      </w:r>
      <w:r w:rsidRPr="00A2130D">
        <w:rPr>
          <w:rFonts w:ascii="Arial" w:hAnsi="Arial" w:cs="Arial"/>
          <w:w w:val="105"/>
        </w:rPr>
        <w:t>D</w:t>
      </w:r>
      <w:r w:rsidR="00114C36" w:rsidRPr="00A2130D">
        <w:rPr>
          <w:rFonts w:ascii="Arial" w:hAnsi="Arial" w:cs="Arial"/>
          <w:w w:val="105"/>
        </w:rPr>
        <w:t xml:space="preserve">ES </w:t>
      </w:r>
      <w:r w:rsidR="00114C36" w:rsidRPr="00A2130D">
        <w:rPr>
          <w:rFonts w:ascii="Arial" w:hAnsi="Arial" w:cs="Arial"/>
          <w:spacing w:val="-7"/>
          <w:w w:val="105"/>
        </w:rPr>
        <w:t xml:space="preserve">Team to </w:t>
      </w:r>
      <w:r w:rsidR="00114C36" w:rsidRPr="00A2130D">
        <w:rPr>
          <w:rFonts w:ascii="Arial" w:hAnsi="Arial" w:cs="Arial"/>
          <w:w w:val="105"/>
        </w:rPr>
        <w:t xml:space="preserve">identify and share good practice.  </w:t>
      </w:r>
    </w:p>
    <w:p w:rsidR="00DC2EB9" w:rsidRPr="00A2130D" w:rsidRDefault="00DC2EB9" w:rsidP="00C579F1">
      <w:pPr>
        <w:pStyle w:val="BodyText"/>
        <w:spacing w:line="276" w:lineRule="auto"/>
        <w:ind w:right="-46"/>
        <w:rPr>
          <w:rFonts w:ascii="Arial" w:hAnsi="Arial" w:cs="Arial"/>
          <w:w w:val="105"/>
        </w:rPr>
      </w:pPr>
      <w:r w:rsidRPr="00A2130D">
        <w:rPr>
          <w:rFonts w:ascii="Arial" w:hAnsi="Arial" w:cs="Arial"/>
          <w:b/>
          <w:w w:val="105"/>
        </w:rPr>
        <w:t xml:space="preserve">Robust Action Plans – </w:t>
      </w:r>
      <w:r w:rsidRPr="00A2130D">
        <w:rPr>
          <w:rFonts w:ascii="Arial" w:hAnsi="Arial" w:cs="Arial"/>
          <w:w w:val="105"/>
        </w:rPr>
        <w:t>The Trust is required to understand the data and have robust action plans for continuous improvements as</w:t>
      </w:r>
      <w:r w:rsidRPr="00A2130D">
        <w:rPr>
          <w:rFonts w:ascii="Arial" w:hAnsi="Arial" w:cs="Arial"/>
          <w:spacing w:val="-12"/>
          <w:w w:val="105"/>
        </w:rPr>
        <w:t xml:space="preserve"> </w:t>
      </w:r>
      <w:r w:rsidRPr="00A2130D">
        <w:rPr>
          <w:rFonts w:ascii="Arial" w:hAnsi="Arial" w:cs="Arial"/>
          <w:w w:val="105"/>
        </w:rPr>
        <w:t>essential</w:t>
      </w:r>
      <w:r w:rsidRPr="00A2130D">
        <w:rPr>
          <w:rFonts w:ascii="Arial" w:hAnsi="Arial" w:cs="Arial"/>
          <w:spacing w:val="-12"/>
          <w:w w:val="105"/>
        </w:rPr>
        <w:t xml:space="preserve"> </w:t>
      </w:r>
      <w:r w:rsidRPr="00A2130D">
        <w:rPr>
          <w:rFonts w:ascii="Arial" w:hAnsi="Arial" w:cs="Arial"/>
          <w:w w:val="105"/>
        </w:rPr>
        <w:t xml:space="preserve">steps towards helping the workplace to be free from discrimination. </w:t>
      </w:r>
    </w:p>
    <w:tbl>
      <w:tblPr>
        <w:tblpPr w:leftFromText="180" w:rightFromText="180" w:vertAnchor="text" w:tblpX="9" w:tblpY="202"/>
        <w:tblW w:w="9062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ook w:val="0000" w:firstRow="0" w:lastRow="0" w:firstColumn="0" w:lastColumn="0" w:noHBand="0" w:noVBand="0"/>
      </w:tblPr>
      <w:tblGrid>
        <w:gridCol w:w="9062"/>
      </w:tblGrid>
      <w:tr w:rsidR="00FC03BA" w:rsidTr="00FC03BA">
        <w:trPr>
          <w:trHeight w:val="1680"/>
        </w:trPr>
        <w:tc>
          <w:tcPr>
            <w:tcW w:w="9062" w:type="dxa"/>
            <w:shd w:val="clear" w:color="auto" w:fill="C6D9F1" w:themeFill="text2" w:themeFillTint="33"/>
          </w:tcPr>
          <w:p w:rsidR="00FC03BA" w:rsidRDefault="00FC03BA" w:rsidP="00FC03BA">
            <w:pPr>
              <w:pStyle w:val="BodyText"/>
              <w:spacing w:line="276" w:lineRule="auto"/>
              <w:ind w:right="-46"/>
              <w:rPr>
                <w:rFonts w:ascii="Arial" w:hAnsi="Arial" w:cs="Arial"/>
                <w:w w:val="105"/>
              </w:rPr>
            </w:pPr>
            <w:r w:rsidRPr="00A2130D">
              <w:rPr>
                <w:rFonts w:ascii="Arial" w:hAnsi="Arial" w:cs="Arial"/>
                <w:b/>
                <w:w w:val="105"/>
              </w:rPr>
              <w:t>A key improvement area</w:t>
            </w:r>
            <w:r w:rsidR="002B0FCC">
              <w:rPr>
                <w:rFonts w:ascii="Arial" w:hAnsi="Arial" w:cs="Arial"/>
                <w:b/>
                <w:w w:val="105"/>
              </w:rPr>
              <w:t xml:space="preserve"> needed </w:t>
            </w:r>
            <w:r w:rsidRPr="00A2130D">
              <w:rPr>
                <w:rFonts w:ascii="Arial" w:hAnsi="Arial" w:cs="Arial"/>
                <w:b/>
                <w:w w:val="105"/>
              </w:rPr>
              <w:t xml:space="preserve">is Disability Data Declaration – </w:t>
            </w:r>
            <w:r w:rsidRPr="00A2130D">
              <w:rPr>
                <w:rFonts w:ascii="Arial" w:hAnsi="Arial" w:cs="Arial"/>
                <w:w w:val="105"/>
              </w:rPr>
              <w:t>Unlike the level of local and national eth</w:t>
            </w:r>
            <w:r>
              <w:rPr>
                <w:rFonts w:ascii="Arial" w:hAnsi="Arial" w:cs="Arial"/>
                <w:w w:val="105"/>
              </w:rPr>
              <w:t xml:space="preserve">nicity declaration for the WRES, </w:t>
            </w:r>
            <w:r w:rsidRPr="00A2130D">
              <w:rPr>
                <w:rFonts w:ascii="Arial" w:hAnsi="Arial" w:cs="Arial"/>
                <w:w w:val="105"/>
              </w:rPr>
              <w:t xml:space="preserve">which is high, the level of local and national disability declaration is low. </w:t>
            </w:r>
            <w:r>
              <w:rPr>
                <w:rFonts w:ascii="Arial" w:hAnsi="Arial" w:cs="Arial"/>
                <w:w w:val="105"/>
              </w:rPr>
              <w:t>The</w:t>
            </w:r>
            <w:r w:rsidRPr="00A2130D">
              <w:rPr>
                <w:rFonts w:ascii="Arial" w:hAnsi="Arial" w:cs="Arial"/>
                <w:w w:val="105"/>
              </w:rPr>
              <w:t xml:space="preserve"> Trust has moved from 56% to </w:t>
            </w:r>
            <w:r>
              <w:rPr>
                <w:rFonts w:ascii="Arial" w:hAnsi="Arial" w:cs="Arial"/>
                <w:w w:val="105"/>
              </w:rPr>
              <w:t>26%</w:t>
            </w:r>
            <w:r w:rsidRPr="00A2130D">
              <w:rPr>
                <w:rFonts w:ascii="Arial" w:hAnsi="Arial" w:cs="Arial"/>
                <w:w w:val="105"/>
              </w:rPr>
              <w:t xml:space="preserve"> non-declaration since 2015, mainly due to the Electronic Staff Record ESR which enables staff to adjust their own data declarations. </w:t>
            </w:r>
          </w:p>
          <w:p w:rsidR="00FC03BA" w:rsidRDefault="00FC03BA" w:rsidP="00FC03BA">
            <w:pPr>
              <w:pStyle w:val="BodyText"/>
              <w:spacing w:line="276" w:lineRule="auto"/>
              <w:ind w:right="-46"/>
              <w:rPr>
                <w:rFonts w:ascii="Arial" w:hAnsi="Arial" w:cs="Arial"/>
                <w:w w:val="105"/>
              </w:rPr>
            </w:pPr>
          </w:p>
          <w:p w:rsidR="00FC03BA" w:rsidRPr="00FC03BA" w:rsidRDefault="00FC03BA" w:rsidP="002B0FCC">
            <w:pPr>
              <w:pStyle w:val="BodyText"/>
              <w:spacing w:line="276" w:lineRule="auto"/>
              <w:ind w:right="-46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 xml:space="preserve">Sensitive data - </w:t>
            </w:r>
            <w:r>
              <w:rPr>
                <w:rFonts w:ascii="Arial" w:hAnsi="Arial" w:cs="Arial"/>
                <w:w w:val="105"/>
              </w:rPr>
              <w:t xml:space="preserve">This </w:t>
            </w:r>
            <w:r w:rsidR="002B0FCC">
              <w:rPr>
                <w:rFonts w:ascii="Arial" w:hAnsi="Arial" w:cs="Arial"/>
                <w:w w:val="105"/>
              </w:rPr>
              <w:t xml:space="preserve">level of non-declaration </w:t>
            </w:r>
            <w:r>
              <w:rPr>
                <w:rFonts w:ascii="Arial" w:hAnsi="Arial" w:cs="Arial"/>
                <w:w w:val="105"/>
              </w:rPr>
              <w:t xml:space="preserve">is a local and national phenomena for Patients as well as the workforce. Religion or </w:t>
            </w:r>
            <w:r w:rsidR="002B0FCC">
              <w:rPr>
                <w:rFonts w:ascii="Arial" w:hAnsi="Arial" w:cs="Arial"/>
                <w:w w:val="105"/>
              </w:rPr>
              <w:t>Belief and Sexual Orientation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="002B0FCC">
              <w:rPr>
                <w:rFonts w:ascii="Arial" w:hAnsi="Arial" w:cs="Arial"/>
                <w:w w:val="105"/>
              </w:rPr>
              <w:t xml:space="preserve">also </w:t>
            </w:r>
            <w:r>
              <w:rPr>
                <w:rFonts w:ascii="Arial" w:hAnsi="Arial" w:cs="Arial"/>
                <w:w w:val="105"/>
              </w:rPr>
              <w:t>have higher non declaration.</w:t>
            </w:r>
            <w:r w:rsidRPr="00A2130D">
              <w:rPr>
                <w:rFonts w:ascii="Arial" w:hAnsi="Arial" w:cs="Arial"/>
                <w:w w:val="105"/>
              </w:rPr>
              <w:t xml:space="preserve"> Th</w:t>
            </w:r>
            <w:r>
              <w:rPr>
                <w:rFonts w:ascii="Arial" w:hAnsi="Arial" w:cs="Arial"/>
                <w:w w:val="105"/>
              </w:rPr>
              <w:t>ese</w:t>
            </w:r>
            <w:r w:rsidRPr="00A2130D">
              <w:rPr>
                <w:rFonts w:ascii="Arial" w:hAnsi="Arial" w:cs="Arial"/>
                <w:w w:val="105"/>
              </w:rPr>
              <w:t xml:space="preserve"> are regarded as more private or personal areas. There needs to be more confidence in </w:t>
            </w:r>
            <w:r>
              <w:rPr>
                <w:rFonts w:ascii="Arial" w:hAnsi="Arial" w:cs="Arial"/>
                <w:w w:val="105"/>
              </w:rPr>
              <w:t xml:space="preserve">declaring, in </w:t>
            </w:r>
            <w:r w:rsidRPr="00A2130D">
              <w:rPr>
                <w:rFonts w:ascii="Arial" w:hAnsi="Arial" w:cs="Arial"/>
                <w:w w:val="105"/>
              </w:rPr>
              <w:t xml:space="preserve">confidentiality and </w:t>
            </w:r>
            <w:r w:rsidR="002B0FCC">
              <w:rPr>
                <w:rFonts w:ascii="Arial" w:hAnsi="Arial" w:cs="Arial"/>
                <w:w w:val="105"/>
              </w:rPr>
              <w:t xml:space="preserve">in </w:t>
            </w:r>
            <w:r w:rsidRPr="00A2130D">
              <w:rPr>
                <w:rFonts w:ascii="Arial" w:hAnsi="Arial" w:cs="Arial"/>
                <w:w w:val="105"/>
              </w:rPr>
              <w:t>the generic,</w:t>
            </w:r>
            <w:r w:rsidRPr="00FC03BA">
              <w:rPr>
                <w:rFonts w:ascii="Arial" w:hAnsi="Arial" w:cs="Arial"/>
                <w:w w:val="105"/>
                <w:lang w:val="en-GB"/>
              </w:rPr>
              <w:t xml:space="preserve"> anonymised</w:t>
            </w:r>
            <w:r w:rsidRPr="00A2130D">
              <w:rPr>
                <w:rFonts w:ascii="Arial" w:hAnsi="Arial" w:cs="Arial"/>
                <w:w w:val="105"/>
              </w:rPr>
              <w:t xml:space="preserve"> use of data. </w:t>
            </w:r>
          </w:p>
        </w:tc>
      </w:tr>
    </w:tbl>
    <w:p w:rsidR="008A5D07" w:rsidRPr="00A2130D" w:rsidRDefault="008A5D07" w:rsidP="00C579F1">
      <w:pPr>
        <w:pStyle w:val="BodyText"/>
        <w:spacing w:line="276" w:lineRule="auto"/>
        <w:ind w:right="-46"/>
        <w:rPr>
          <w:rFonts w:ascii="Arial" w:hAnsi="Arial" w:cs="Arial"/>
          <w:b/>
          <w:w w:val="105"/>
        </w:rPr>
      </w:pPr>
    </w:p>
    <w:p w:rsidR="00F44A52" w:rsidRPr="00A2130D" w:rsidRDefault="00FC03BA" w:rsidP="00C579F1">
      <w:pPr>
        <w:pStyle w:val="BodyText"/>
        <w:spacing w:line="276" w:lineRule="auto"/>
        <w:ind w:right="-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More</w:t>
      </w:r>
      <w:r w:rsidR="00F44A52" w:rsidRPr="00A2130D">
        <w:rPr>
          <w:rFonts w:ascii="Arial" w:hAnsi="Arial" w:cs="Arial"/>
          <w:w w:val="105"/>
        </w:rPr>
        <w:t xml:space="preserve"> work is planned to encourage confidence in declaring disability as this not only effects the support and reasonable adjustments that could be offered to staff with a disability but it also effects the value and relevance of data usage when there is a large gap in the information collected. </w:t>
      </w:r>
    </w:p>
    <w:p w:rsidR="00D12178" w:rsidRPr="00A2130D" w:rsidRDefault="00D12178" w:rsidP="00BF69FC">
      <w:pPr>
        <w:pStyle w:val="BodyText"/>
        <w:spacing w:line="280" w:lineRule="exact"/>
        <w:ind w:right="-46"/>
        <w:rPr>
          <w:rFonts w:ascii="Arial" w:hAnsi="Arial" w:cs="Arial"/>
          <w:b/>
          <w:w w:val="105"/>
        </w:rPr>
      </w:pPr>
    </w:p>
    <w:p w:rsidR="00BF69FC" w:rsidRPr="00A2130D" w:rsidRDefault="00BF69FC" w:rsidP="00BF69FC">
      <w:pPr>
        <w:pStyle w:val="BodyText"/>
        <w:spacing w:line="280" w:lineRule="exact"/>
        <w:ind w:right="-46"/>
        <w:rPr>
          <w:rFonts w:ascii="Arial" w:hAnsi="Arial" w:cs="Arial"/>
          <w:w w:val="105"/>
        </w:rPr>
      </w:pPr>
      <w:r w:rsidRPr="00A2130D">
        <w:rPr>
          <w:rFonts w:ascii="Arial" w:hAnsi="Arial" w:cs="Arial"/>
          <w:b/>
          <w:w w:val="105"/>
        </w:rPr>
        <w:t xml:space="preserve">Commitment </w:t>
      </w:r>
      <w:r w:rsidRPr="00A2130D">
        <w:rPr>
          <w:rFonts w:ascii="Arial" w:hAnsi="Arial" w:cs="Arial"/>
          <w:w w:val="105"/>
        </w:rPr>
        <w:t>to promoting equality and diversity in the workforce, along with inclusive leadership is crucially associated</w:t>
      </w:r>
      <w:r w:rsidRPr="00A2130D">
        <w:rPr>
          <w:rFonts w:ascii="Arial" w:hAnsi="Arial" w:cs="Arial"/>
          <w:spacing w:val="-39"/>
          <w:w w:val="105"/>
        </w:rPr>
        <w:t xml:space="preserve"> </w:t>
      </w:r>
      <w:r w:rsidRPr="00A2130D">
        <w:rPr>
          <w:rFonts w:ascii="Arial" w:hAnsi="Arial" w:cs="Arial"/>
          <w:w w:val="105"/>
        </w:rPr>
        <w:t>with increased patient</w:t>
      </w:r>
      <w:r w:rsidRPr="00FC03BA">
        <w:rPr>
          <w:rFonts w:ascii="Arial" w:hAnsi="Arial" w:cs="Arial"/>
          <w:w w:val="105"/>
          <w:lang w:val="en-GB"/>
        </w:rPr>
        <w:t>-centred</w:t>
      </w:r>
      <w:r w:rsidRPr="00A2130D">
        <w:rPr>
          <w:rFonts w:ascii="Arial" w:hAnsi="Arial" w:cs="Arial"/>
          <w:w w:val="105"/>
        </w:rPr>
        <w:t xml:space="preserve"> care, innovation, staff morale and access to a wider talent pool.</w:t>
      </w:r>
    </w:p>
    <w:p w:rsidR="00040D50" w:rsidRPr="00A2130D" w:rsidRDefault="00040D50" w:rsidP="00B0638D">
      <w:pPr>
        <w:pStyle w:val="BodyText"/>
        <w:spacing w:before="240" w:after="240" w:line="276" w:lineRule="auto"/>
        <w:ind w:right="-11"/>
        <w:rPr>
          <w:rFonts w:ascii="Arial" w:hAnsi="Arial" w:cs="Arial"/>
          <w:w w:val="105"/>
        </w:rPr>
      </w:pPr>
      <w:r w:rsidRPr="00A2130D">
        <w:rPr>
          <w:rFonts w:ascii="Arial" w:hAnsi="Arial" w:cs="Arial"/>
          <w:b/>
          <w:w w:val="105"/>
        </w:rPr>
        <w:t xml:space="preserve">Care Quality Commission’s Role </w:t>
      </w:r>
      <w:r w:rsidR="002B0FCC">
        <w:rPr>
          <w:rFonts w:ascii="Arial" w:hAnsi="Arial" w:cs="Arial"/>
          <w:b/>
          <w:w w:val="105"/>
        </w:rPr>
        <w:t>–</w:t>
      </w:r>
      <w:r w:rsidRPr="00A2130D">
        <w:rPr>
          <w:rFonts w:ascii="Arial" w:hAnsi="Arial" w:cs="Arial"/>
          <w:b/>
          <w:w w:val="105"/>
        </w:rPr>
        <w:t xml:space="preserve"> </w:t>
      </w:r>
      <w:r w:rsidR="002B0FCC">
        <w:rPr>
          <w:rFonts w:ascii="Arial" w:hAnsi="Arial" w:cs="Arial"/>
          <w:w w:val="105"/>
        </w:rPr>
        <w:t xml:space="preserve">Since </w:t>
      </w:r>
      <w:r w:rsidRPr="00A2130D">
        <w:rPr>
          <w:rFonts w:ascii="Arial" w:hAnsi="Arial" w:cs="Arial"/>
          <w:w w:val="105"/>
        </w:rPr>
        <w:t>April 201</w:t>
      </w:r>
      <w:r w:rsidR="00FC03BA">
        <w:rPr>
          <w:rFonts w:ascii="Arial" w:hAnsi="Arial" w:cs="Arial"/>
          <w:w w:val="105"/>
        </w:rPr>
        <w:t>9</w:t>
      </w:r>
      <w:r w:rsidRPr="00A2130D">
        <w:rPr>
          <w:rFonts w:ascii="Arial" w:hAnsi="Arial" w:cs="Arial"/>
          <w:w w:val="105"/>
        </w:rPr>
        <w:t xml:space="preserve"> </w:t>
      </w:r>
      <w:r w:rsidR="00FC03BA">
        <w:rPr>
          <w:rFonts w:ascii="Arial" w:hAnsi="Arial" w:cs="Arial"/>
          <w:w w:val="105"/>
        </w:rPr>
        <w:t xml:space="preserve">the WDES </w:t>
      </w:r>
      <w:r w:rsidR="002B0FCC">
        <w:rPr>
          <w:rFonts w:ascii="Arial" w:hAnsi="Arial" w:cs="Arial"/>
          <w:w w:val="105"/>
        </w:rPr>
        <w:t xml:space="preserve">has been </w:t>
      </w:r>
      <w:r w:rsidR="00FC03BA">
        <w:rPr>
          <w:rFonts w:ascii="Arial" w:hAnsi="Arial" w:cs="Arial"/>
          <w:w w:val="105"/>
        </w:rPr>
        <w:t xml:space="preserve">included in the </w:t>
      </w:r>
      <w:r w:rsidRPr="00A2130D">
        <w:rPr>
          <w:rFonts w:ascii="Arial" w:hAnsi="Arial" w:cs="Arial"/>
          <w:w w:val="105"/>
        </w:rPr>
        <w:t xml:space="preserve">“well led” domain in CQC </w:t>
      </w:r>
      <w:r w:rsidR="00B10344" w:rsidRPr="00A2130D">
        <w:rPr>
          <w:rFonts w:ascii="Arial" w:hAnsi="Arial" w:cs="Arial"/>
          <w:w w:val="105"/>
        </w:rPr>
        <w:t>inspection</w:t>
      </w:r>
      <w:r w:rsidR="008A5D07" w:rsidRPr="00A2130D">
        <w:rPr>
          <w:rFonts w:ascii="Arial" w:hAnsi="Arial" w:cs="Arial"/>
          <w:w w:val="105"/>
        </w:rPr>
        <w:t>s.</w:t>
      </w:r>
      <w:r w:rsidR="00B10344" w:rsidRPr="00A2130D">
        <w:rPr>
          <w:rFonts w:ascii="Arial" w:hAnsi="Arial" w:cs="Arial"/>
          <w:w w:val="105"/>
        </w:rPr>
        <w:t xml:space="preserve"> </w:t>
      </w:r>
      <w:r w:rsidR="008A5D07" w:rsidRPr="00A2130D">
        <w:rPr>
          <w:rFonts w:ascii="Arial" w:hAnsi="Arial" w:cs="Arial"/>
          <w:w w:val="105"/>
        </w:rPr>
        <w:t xml:space="preserve">As for the WRES the national WDES team will support the </w:t>
      </w:r>
      <w:r w:rsidRPr="00A2130D">
        <w:rPr>
          <w:rFonts w:ascii="Arial" w:hAnsi="Arial" w:cs="Arial"/>
          <w:w w:val="105"/>
        </w:rPr>
        <w:t xml:space="preserve">CQC </w:t>
      </w:r>
      <w:r w:rsidR="00B10344" w:rsidRPr="00A2130D">
        <w:rPr>
          <w:rFonts w:ascii="Arial" w:hAnsi="Arial" w:cs="Arial"/>
          <w:w w:val="105"/>
        </w:rPr>
        <w:t xml:space="preserve">in using </w:t>
      </w:r>
      <w:r w:rsidRPr="00A2130D">
        <w:rPr>
          <w:rFonts w:ascii="Arial" w:hAnsi="Arial" w:cs="Arial"/>
          <w:w w:val="105"/>
        </w:rPr>
        <w:t>the W</w:t>
      </w:r>
      <w:r w:rsidR="008A5D07" w:rsidRPr="00A2130D">
        <w:rPr>
          <w:rFonts w:ascii="Arial" w:hAnsi="Arial" w:cs="Arial"/>
          <w:w w:val="105"/>
        </w:rPr>
        <w:t>D</w:t>
      </w:r>
      <w:r w:rsidRPr="00A2130D">
        <w:rPr>
          <w:rFonts w:ascii="Arial" w:hAnsi="Arial" w:cs="Arial"/>
          <w:w w:val="105"/>
        </w:rPr>
        <w:t xml:space="preserve">ES </w:t>
      </w:r>
      <w:r w:rsidR="008A5D07" w:rsidRPr="00A2130D">
        <w:rPr>
          <w:rFonts w:ascii="Arial" w:hAnsi="Arial" w:cs="Arial"/>
          <w:w w:val="105"/>
        </w:rPr>
        <w:t>as a</w:t>
      </w:r>
      <w:r w:rsidRPr="00A2130D">
        <w:rPr>
          <w:rFonts w:ascii="Arial" w:hAnsi="Arial" w:cs="Arial"/>
          <w:w w:val="105"/>
        </w:rPr>
        <w:t xml:space="preserve"> source of reference</w:t>
      </w:r>
      <w:r w:rsidRPr="00A2130D">
        <w:rPr>
          <w:rFonts w:ascii="Arial" w:hAnsi="Arial" w:cs="Arial"/>
          <w:spacing w:val="-18"/>
          <w:w w:val="105"/>
        </w:rPr>
        <w:t xml:space="preserve"> </w:t>
      </w:r>
      <w:r w:rsidRPr="00A2130D">
        <w:rPr>
          <w:rFonts w:ascii="Arial" w:hAnsi="Arial" w:cs="Arial"/>
          <w:w w:val="105"/>
        </w:rPr>
        <w:t>during</w:t>
      </w:r>
      <w:r w:rsidR="001C506D" w:rsidRPr="00A2130D">
        <w:rPr>
          <w:rFonts w:ascii="Arial" w:hAnsi="Arial" w:cs="Arial"/>
          <w:w w:val="105"/>
        </w:rPr>
        <w:t xml:space="preserve"> inspections</w:t>
      </w:r>
      <w:r w:rsidR="007A0CB2" w:rsidRPr="00A2130D">
        <w:rPr>
          <w:rFonts w:ascii="Arial" w:hAnsi="Arial" w:cs="Arial"/>
          <w:w w:val="105"/>
        </w:rPr>
        <w:t>.</w:t>
      </w:r>
    </w:p>
    <w:p w:rsidR="00DC2EB9" w:rsidRDefault="00DC2EB9" w:rsidP="008A5D07">
      <w:pPr>
        <w:pStyle w:val="Heading1"/>
        <w:tabs>
          <w:tab w:val="left" w:pos="539"/>
        </w:tabs>
        <w:spacing w:before="0" w:line="276" w:lineRule="auto"/>
        <w:ind w:left="0" w:right="492"/>
        <w:rPr>
          <w:spacing w:val="-4"/>
          <w:sz w:val="22"/>
          <w:szCs w:val="22"/>
        </w:rPr>
      </w:pPr>
      <w:r w:rsidRPr="00A2130D">
        <w:rPr>
          <w:spacing w:val="2"/>
        </w:rPr>
        <w:t xml:space="preserve">The </w:t>
      </w:r>
      <w:r w:rsidRPr="00A2130D">
        <w:rPr>
          <w:spacing w:val="-4"/>
        </w:rPr>
        <w:t>W</w:t>
      </w:r>
      <w:r w:rsidR="008A5D07" w:rsidRPr="00A2130D">
        <w:rPr>
          <w:spacing w:val="-4"/>
        </w:rPr>
        <w:t>D</w:t>
      </w:r>
      <w:r w:rsidRPr="00A2130D">
        <w:rPr>
          <w:spacing w:val="-4"/>
        </w:rPr>
        <w:t xml:space="preserve">ES </w:t>
      </w:r>
      <w:r w:rsidRPr="00A2130D">
        <w:rPr>
          <w:spacing w:val="-3"/>
        </w:rPr>
        <w:t xml:space="preserve">and </w:t>
      </w:r>
      <w:r w:rsidRPr="00A2130D">
        <w:t xml:space="preserve">the </w:t>
      </w:r>
      <w:r w:rsidRPr="00A2130D">
        <w:rPr>
          <w:spacing w:val="-4"/>
        </w:rPr>
        <w:t xml:space="preserve">Equality </w:t>
      </w:r>
      <w:r w:rsidRPr="00A2130D">
        <w:rPr>
          <w:spacing w:val="-5"/>
        </w:rPr>
        <w:t xml:space="preserve">Delivery </w:t>
      </w:r>
      <w:r w:rsidRPr="00A2130D">
        <w:t>Syst</w:t>
      </w:r>
      <w:r w:rsidRPr="00DC2EB9">
        <w:rPr>
          <w:sz w:val="22"/>
          <w:szCs w:val="22"/>
        </w:rPr>
        <w:t>em</w:t>
      </w:r>
      <w:r w:rsidRPr="00DC2EB9">
        <w:rPr>
          <w:spacing w:val="7"/>
          <w:sz w:val="22"/>
          <w:szCs w:val="22"/>
        </w:rPr>
        <w:t xml:space="preserve"> </w:t>
      </w:r>
      <w:r w:rsidRPr="00076DC2">
        <w:rPr>
          <w:spacing w:val="-4"/>
          <w:sz w:val="22"/>
          <w:szCs w:val="22"/>
        </w:rPr>
        <w:t xml:space="preserve">(EDS2) – </w:t>
      </w:r>
      <w:r w:rsidR="008A5D07" w:rsidRPr="00076DC2">
        <w:rPr>
          <w:spacing w:val="-4"/>
          <w:sz w:val="22"/>
          <w:szCs w:val="22"/>
        </w:rPr>
        <w:t xml:space="preserve">See appendix 4 for details </w:t>
      </w:r>
    </w:p>
    <w:p w:rsidR="00B92C05" w:rsidRDefault="00B92C05" w:rsidP="008A5D07">
      <w:pPr>
        <w:pStyle w:val="Heading1"/>
        <w:tabs>
          <w:tab w:val="left" w:pos="539"/>
        </w:tabs>
        <w:spacing w:before="0" w:line="276" w:lineRule="auto"/>
        <w:ind w:left="0" w:right="492"/>
        <w:rPr>
          <w:spacing w:val="-4"/>
          <w:sz w:val="22"/>
          <w:szCs w:val="22"/>
        </w:rPr>
      </w:pPr>
    </w:p>
    <w:p w:rsidR="00B92C05" w:rsidRPr="00B92C05" w:rsidRDefault="00B92C05" w:rsidP="008A5D07">
      <w:pPr>
        <w:pStyle w:val="Heading1"/>
        <w:tabs>
          <w:tab w:val="left" w:pos="539"/>
        </w:tabs>
        <w:spacing w:before="0" w:line="276" w:lineRule="auto"/>
        <w:ind w:left="0" w:right="492"/>
      </w:pPr>
      <w:r w:rsidRPr="00B92C05">
        <w:rPr>
          <w:spacing w:val="-4"/>
        </w:rPr>
        <w:t xml:space="preserve">The </w:t>
      </w:r>
      <w:r>
        <w:rPr>
          <w:spacing w:val="-4"/>
        </w:rPr>
        <w:t xml:space="preserve">WDES reports can be found on the Trust website under the headings: Corporate/ Equality and Diversity / Annual Reports </w:t>
      </w:r>
    </w:p>
    <w:sectPr w:rsidR="00B92C05" w:rsidRPr="00B92C05" w:rsidSect="005D66AD">
      <w:headerReference w:type="default" r:id="rId8"/>
      <w:foot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5E" w:rsidRDefault="00166C5E" w:rsidP="00CF292C">
      <w:pPr>
        <w:spacing w:after="0" w:line="240" w:lineRule="auto"/>
      </w:pPr>
      <w:r>
        <w:separator/>
      </w:r>
    </w:p>
  </w:endnote>
  <w:endnote w:type="continuationSeparator" w:id="0">
    <w:p w:rsidR="00166C5E" w:rsidRDefault="00166C5E" w:rsidP="00C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557219"/>
      <w:docPartObj>
        <w:docPartGallery w:val="Page Numbers (Bottom of Page)"/>
        <w:docPartUnique/>
      </w:docPartObj>
    </w:sdtPr>
    <w:sdtEndPr/>
    <w:sdtContent>
      <w:p w:rsidR="00CF292C" w:rsidRDefault="008739D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30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292C" w:rsidRDefault="00CF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5E" w:rsidRDefault="00166C5E" w:rsidP="00CF292C">
      <w:pPr>
        <w:spacing w:after="0" w:line="240" w:lineRule="auto"/>
      </w:pPr>
      <w:r>
        <w:separator/>
      </w:r>
    </w:p>
  </w:footnote>
  <w:footnote w:type="continuationSeparator" w:id="0">
    <w:p w:rsidR="00166C5E" w:rsidRDefault="00166C5E" w:rsidP="00CF292C">
      <w:pPr>
        <w:spacing w:after="0" w:line="240" w:lineRule="auto"/>
      </w:pPr>
      <w:r>
        <w:continuationSeparator/>
      </w:r>
    </w:p>
  </w:footnote>
  <w:footnote w:id="1">
    <w:p w:rsidR="00FA128C" w:rsidRPr="00A2130D" w:rsidRDefault="00FA128C" w:rsidP="00FA128C">
      <w:pPr>
        <w:pStyle w:val="BodyText"/>
        <w:spacing w:before="1"/>
        <w:ind w:right="-22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The </w:t>
      </w:r>
      <w:r w:rsidRPr="00A2130D">
        <w:rPr>
          <w:rFonts w:ascii="Arial" w:hAnsi="Arial" w:cs="Arial"/>
          <w:spacing w:val="-5"/>
        </w:rPr>
        <w:t xml:space="preserve">Metrics </w:t>
      </w:r>
      <w:r>
        <w:rPr>
          <w:rFonts w:ascii="Arial" w:hAnsi="Arial" w:cs="Arial"/>
          <w:spacing w:val="-5"/>
        </w:rPr>
        <w:t>were</w:t>
      </w:r>
      <w:r w:rsidRPr="00A2130D">
        <w:rPr>
          <w:rFonts w:ascii="Arial" w:hAnsi="Arial" w:cs="Arial"/>
          <w:spacing w:val="-5"/>
        </w:rPr>
        <w:t xml:space="preserve"> </w:t>
      </w:r>
      <w:r w:rsidRPr="00A2130D">
        <w:rPr>
          <w:rFonts w:ascii="Arial" w:hAnsi="Arial" w:cs="Arial"/>
          <w:spacing w:val="-3"/>
        </w:rPr>
        <w:t xml:space="preserve">informed by </w:t>
      </w:r>
      <w:r w:rsidRPr="00A2130D">
        <w:rPr>
          <w:rFonts w:ascii="Arial" w:hAnsi="Arial" w:cs="Arial"/>
          <w:spacing w:val="-6"/>
        </w:rPr>
        <w:t xml:space="preserve">Middlesex </w:t>
      </w:r>
      <w:r w:rsidRPr="00A2130D">
        <w:rPr>
          <w:rFonts w:ascii="Arial" w:hAnsi="Arial" w:cs="Arial"/>
          <w:spacing w:val="-4"/>
        </w:rPr>
        <w:t xml:space="preserve">and </w:t>
      </w:r>
      <w:r w:rsidRPr="00A2130D">
        <w:rPr>
          <w:rFonts w:ascii="Arial" w:hAnsi="Arial" w:cs="Arial"/>
          <w:spacing w:val="-3"/>
        </w:rPr>
        <w:t xml:space="preserve">Bedford </w:t>
      </w:r>
      <w:r w:rsidRPr="00A2130D">
        <w:rPr>
          <w:rFonts w:ascii="Arial" w:hAnsi="Arial" w:cs="Arial"/>
          <w:spacing w:val="-4"/>
        </w:rPr>
        <w:t>Universities</w:t>
      </w:r>
      <w:r>
        <w:rPr>
          <w:rFonts w:ascii="Arial" w:hAnsi="Arial" w:cs="Arial"/>
          <w:spacing w:val="-4"/>
        </w:rPr>
        <w:t xml:space="preserve"> Research </w:t>
      </w:r>
      <w:r w:rsidRPr="00A2130D">
        <w:rPr>
          <w:rFonts w:ascii="Arial" w:hAnsi="Arial" w:cs="Arial"/>
          <w:spacing w:val="-3"/>
        </w:rPr>
        <w:t xml:space="preserve">on </w:t>
      </w:r>
      <w:r w:rsidRPr="00A2130D">
        <w:rPr>
          <w:rFonts w:ascii="Arial" w:hAnsi="Arial" w:cs="Arial"/>
          <w:spacing w:val="-5"/>
        </w:rPr>
        <w:t xml:space="preserve">behalf </w:t>
      </w:r>
      <w:r w:rsidRPr="00A2130D">
        <w:rPr>
          <w:rFonts w:ascii="Arial" w:hAnsi="Arial" w:cs="Arial"/>
          <w:spacing w:val="-3"/>
        </w:rPr>
        <w:t xml:space="preserve">of </w:t>
      </w:r>
      <w:r w:rsidRPr="00A2130D">
        <w:rPr>
          <w:rFonts w:ascii="Arial" w:hAnsi="Arial" w:cs="Arial"/>
          <w:spacing w:val="-10"/>
        </w:rPr>
        <w:t xml:space="preserve">NHS </w:t>
      </w:r>
      <w:r w:rsidRPr="00A2130D">
        <w:rPr>
          <w:rFonts w:ascii="Arial" w:hAnsi="Arial" w:cs="Arial"/>
          <w:spacing w:val="-5"/>
        </w:rPr>
        <w:t xml:space="preserve">England, </w:t>
      </w:r>
      <w:r w:rsidRPr="00A2130D">
        <w:rPr>
          <w:rFonts w:ascii="Arial" w:hAnsi="Arial" w:cs="Arial"/>
          <w:spacing w:val="-4"/>
        </w:rPr>
        <w:t xml:space="preserve">and </w:t>
      </w:r>
      <w:r w:rsidRPr="00A2130D">
        <w:rPr>
          <w:rFonts w:ascii="Arial" w:hAnsi="Arial" w:cs="Arial"/>
          <w:spacing w:val="-3"/>
        </w:rPr>
        <w:t xml:space="preserve">by Disability </w:t>
      </w:r>
      <w:r w:rsidRPr="00A2130D">
        <w:rPr>
          <w:rFonts w:ascii="Arial" w:hAnsi="Arial" w:cs="Arial"/>
          <w:spacing w:val="-4"/>
        </w:rPr>
        <w:t xml:space="preserve">Rights </w:t>
      </w:r>
      <w:r w:rsidRPr="00A2130D">
        <w:rPr>
          <w:rFonts w:ascii="Arial" w:hAnsi="Arial" w:cs="Arial"/>
          <w:spacing w:val="-7"/>
        </w:rPr>
        <w:t xml:space="preserve">UK </w:t>
      </w:r>
      <w:r w:rsidRPr="00A2130D">
        <w:rPr>
          <w:rFonts w:ascii="Arial" w:hAnsi="Arial" w:cs="Arial"/>
          <w:spacing w:val="-3"/>
        </w:rPr>
        <w:t xml:space="preserve">on </w:t>
      </w:r>
      <w:r w:rsidRPr="00A2130D">
        <w:rPr>
          <w:rFonts w:ascii="Arial" w:hAnsi="Arial" w:cs="Arial"/>
          <w:spacing w:val="-5"/>
        </w:rPr>
        <w:t xml:space="preserve">behalf </w:t>
      </w:r>
      <w:r w:rsidRPr="00A2130D">
        <w:rPr>
          <w:rFonts w:ascii="Arial" w:hAnsi="Arial" w:cs="Arial"/>
          <w:spacing w:val="-3"/>
        </w:rPr>
        <w:t xml:space="preserve">of </w:t>
      </w:r>
      <w:r w:rsidRPr="00A2130D">
        <w:rPr>
          <w:rFonts w:ascii="Arial" w:hAnsi="Arial" w:cs="Arial"/>
          <w:spacing w:val="-10"/>
        </w:rPr>
        <w:t>NHS</w:t>
      </w:r>
      <w:r w:rsidRPr="00A2130D">
        <w:rPr>
          <w:rFonts w:ascii="Arial" w:hAnsi="Arial" w:cs="Arial"/>
          <w:spacing w:val="-15"/>
        </w:rPr>
        <w:t xml:space="preserve"> </w:t>
      </w:r>
      <w:r w:rsidRPr="00A2130D">
        <w:rPr>
          <w:rFonts w:ascii="Arial" w:hAnsi="Arial" w:cs="Arial"/>
        </w:rPr>
        <w:t>Employers.</w:t>
      </w:r>
    </w:p>
    <w:p w:rsidR="00FA128C" w:rsidRDefault="00FA128C" w:rsidP="00FA12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2C" w:rsidRDefault="00CF292C" w:rsidP="00CF292C">
    <w:pPr>
      <w:pStyle w:val="Header"/>
      <w:jc w:val="right"/>
    </w:pPr>
    <w:r>
      <w:t>EDHR STRATEGY A</w:t>
    </w:r>
    <w:r w:rsidR="00A0055C">
      <w:t xml:space="preserve">ppendix </w:t>
    </w:r>
    <w:r w:rsidR="005D66AD">
      <w:t xml:space="preserve">4 – About the Workforce Disability Equality Standard </w:t>
    </w:r>
    <w:r w:rsidR="00C579F1">
      <w:t>– revised 210</w:t>
    </w:r>
    <w:r w:rsidR="008A6612">
      <w:t>517</w:t>
    </w:r>
    <w:r w:rsidR="00C579F1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CB"/>
    <w:multiLevelType w:val="hybridMultilevel"/>
    <w:tmpl w:val="3E0EEF12"/>
    <w:lvl w:ilvl="0" w:tplc="27843972">
      <w:start w:val="6"/>
      <w:numFmt w:val="decimal"/>
      <w:lvlText w:val="%1"/>
      <w:lvlJc w:val="left"/>
      <w:pPr>
        <w:ind w:left="538" w:hanging="433"/>
        <w:jc w:val="left"/>
      </w:pPr>
      <w:rPr>
        <w:rFonts w:ascii="Arial" w:eastAsia="Arial" w:hAnsi="Arial" w:cs="Arial" w:hint="default"/>
        <w:b/>
        <w:bCs/>
        <w:color w:val="0071C5"/>
        <w:w w:val="100"/>
        <w:sz w:val="32"/>
        <w:szCs w:val="32"/>
      </w:rPr>
    </w:lvl>
    <w:lvl w:ilvl="1" w:tplc="2CB0B6EE">
      <w:start w:val="1"/>
      <w:numFmt w:val="bullet"/>
      <w:lvlText w:val=""/>
      <w:lvlJc w:val="left"/>
      <w:pPr>
        <w:ind w:left="827" w:hanging="35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A2974E">
      <w:start w:val="1"/>
      <w:numFmt w:val="bullet"/>
      <w:lvlText w:val="•"/>
      <w:lvlJc w:val="left"/>
      <w:pPr>
        <w:ind w:left="1760" w:hanging="353"/>
      </w:pPr>
      <w:rPr>
        <w:rFonts w:hint="default"/>
      </w:rPr>
    </w:lvl>
    <w:lvl w:ilvl="3" w:tplc="16E47516">
      <w:start w:val="1"/>
      <w:numFmt w:val="bullet"/>
      <w:lvlText w:val="•"/>
      <w:lvlJc w:val="left"/>
      <w:pPr>
        <w:ind w:left="2700" w:hanging="353"/>
      </w:pPr>
      <w:rPr>
        <w:rFonts w:hint="default"/>
      </w:rPr>
    </w:lvl>
    <w:lvl w:ilvl="4" w:tplc="6706BC60">
      <w:start w:val="1"/>
      <w:numFmt w:val="bullet"/>
      <w:lvlText w:val="•"/>
      <w:lvlJc w:val="left"/>
      <w:pPr>
        <w:ind w:left="3641" w:hanging="353"/>
      </w:pPr>
      <w:rPr>
        <w:rFonts w:hint="default"/>
      </w:rPr>
    </w:lvl>
    <w:lvl w:ilvl="5" w:tplc="3864CD56">
      <w:start w:val="1"/>
      <w:numFmt w:val="bullet"/>
      <w:lvlText w:val="•"/>
      <w:lvlJc w:val="left"/>
      <w:pPr>
        <w:ind w:left="4581" w:hanging="353"/>
      </w:pPr>
      <w:rPr>
        <w:rFonts w:hint="default"/>
      </w:rPr>
    </w:lvl>
    <w:lvl w:ilvl="6" w:tplc="F496D938">
      <w:start w:val="1"/>
      <w:numFmt w:val="bullet"/>
      <w:lvlText w:val="•"/>
      <w:lvlJc w:val="left"/>
      <w:pPr>
        <w:ind w:left="5522" w:hanging="353"/>
      </w:pPr>
      <w:rPr>
        <w:rFonts w:hint="default"/>
      </w:rPr>
    </w:lvl>
    <w:lvl w:ilvl="7" w:tplc="EB329FDE">
      <w:start w:val="1"/>
      <w:numFmt w:val="bullet"/>
      <w:lvlText w:val="•"/>
      <w:lvlJc w:val="left"/>
      <w:pPr>
        <w:ind w:left="6462" w:hanging="353"/>
      </w:pPr>
      <w:rPr>
        <w:rFonts w:hint="default"/>
      </w:rPr>
    </w:lvl>
    <w:lvl w:ilvl="8" w:tplc="724092FA">
      <w:start w:val="1"/>
      <w:numFmt w:val="bullet"/>
      <w:lvlText w:val="•"/>
      <w:lvlJc w:val="left"/>
      <w:pPr>
        <w:ind w:left="7403" w:hanging="353"/>
      </w:pPr>
      <w:rPr>
        <w:rFonts w:hint="default"/>
      </w:rPr>
    </w:lvl>
  </w:abstractNum>
  <w:abstractNum w:abstractNumId="1" w15:restartNumberingAfterBreak="0">
    <w:nsid w:val="0F5D261A"/>
    <w:multiLevelType w:val="hybridMultilevel"/>
    <w:tmpl w:val="C9D6A68A"/>
    <w:lvl w:ilvl="0" w:tplc="AF6C6CE6">
      <w:start w:val="1"/>
      <w:numFmt w:val="lowerRoman"/>
      <w:lvlText w:val="%1)"/>
      <w:lvlJc w:val="left"/>
      <w:pPr>
        <w:ind w:left="1191" w:hanging="722"/>
        <w:jc w:val="left"/>
      </w:pPr>
      <w:rPr>
        <w:rFonts w:ascii="Arial" w:eastAsia="Arial" w:hAnsi="Arial" w:cs="Arial" w:hint="default"/>
        <w:spacing w:val="-2"/>
        <w:w w:val="101"/>
        <w:sz w:val="22"/>
        <w:szCs w:val="22"/>
        <w:lang w:val="en-GB" w:eastAsia="en-GB" w:bidi="en-GB"/>
      </w:rPr>
    </w:lvl>
    <w:lvl w:ilvl="1" w:tplc="1AE4E86A">
      <w:numFmt w:val="bullet"/>
      <w:lvlText w:val="•"/>
      <w:lvlJc w:val="left"/>
      <w:pPr>
        <w:ind w:left="1957" w:hanging="722"/>
      </w:pPr>
      <w:rPr>
        <w:rFonts w:hint="default"/>
        <w:lang w:val="en-GB" w:eastAsia="en-GB" w:bidi="en-GB"/>
      </w:rPr>
    </w:lvl>
    <w:lvl w:ilvl="2" w:tplc="DFB849DC">
      <w:numFmt w:val="bullet"/>
      <w:lvlText w:val="•"/>
      <w:lvlJc w:val="left"/>
      <w:pPr>
        <w:ind w:left="2715" w:hanging="722"/>
      </w:pPr>
      <w:rPr>
        <w:rFonts w:hint="default"/>
        <w:lang w:val="en-GB" w:eastAsia="en-GB" w:bidi="en-GB"/>
      </w:rPr>
    </w:lvl>
    <w:lvl w:ilvl="3" w:tplc="CCDCA36C">
      <w:numFmt w:val="bullet"/>
      <w:lvlText w:val="•"/>
      <w:lvlJc w:val="left"/>
      <w:pPr>
        <w:ind w:left="3472" w:hanging="722"/>
      </w:pPr>
      <w:rPr>
        <w:rFonts w:hint="default"/>
        <w:lang w:val="en-GB" w:eastAsia="en-GB" w:bidi="en-GB"/>
      </w:rPr>
    </w:lvl>
    <w:lvl w:ilvl="4" w:tplc="FB184DBE">
      <w:numFmt w:val="bullet"/>
      <w:lvlText w:val="•"/>
      <w:lvlJc w:val="left"/>
      <w:pPr>
        <w:ind w:left="4230" w:hanging="722"/>
      </w:pPr>
      <w:rPr>
        <w:rFonts w:hint="default"/>
        <w:lang w:val="en-GB" w:eastAsia="en-GB" w:bidi="en-GB"/>
      </w:rPr>
    </w:lvl>
    <w:lvl w:ilvl="5" w:tplc="CC00D83E">
      <w:numFmt w:val="bullet"/>
      <w:lvlText w:val="•"/>
      <w:lvlJc w:val="left"/>
      <w:pPr>
        <w:ind w:left="4988" w:hanging="722"/>
      </w:pPr>
      <w:rPr>
        <w:rFonts w:hint="default"/>
        <w:lang w:val="en-GB" w:eastAsia="en-GB" w:bidi="en-GB"/>
      </w:rPr>
    </w:lvl>
    <w:lvl w:ilvl="6" w:tplc="849CC43E">
      <w:numFmt w:val="bullet"/>
      <w:lvlText w:val="•"/>
      <w:lvlJc w:val="left"/>
      <w:pPr>
        <w:ind w:left="5745" w:hanging="722"/>
      </w:pPr>
      <w:rPr>
        <w:rFonts w:hint="default"/>
        <w:lang w:val="en-GB" w:eastAsia="en-GB" w:bidi="en-GB"/>
      </w:rPr>
    </w:lvl>
    <w:lvl w:ilvl="7" w:tplc="35FC6368">
      <w:numFmt w:val="bullet"/>
      <w:lvlText w:val="•"/>
      <w:lvlJc w:val="left"/>
      <w:pPr>
        <w:ind w:left="6503" w:hanging="722"/>
      </w:pPr>
      <w:rPr>
        <w:rFonts w:hint="default"/>
        <w:lang w:val="en-GB" w:eastAsia="en-GB" w:bidi="en-GB"/>
      </w:rPr>
    </w:lvl>
    <w:lvl w:ilvl="8" w:tplc="EC587B40">
      <w:numFmt w:val="bullet"/>
      <w:lvlText w:val="•"/>
      <w:lvlJc w:val="left"/>
      <w:pPr>
        <w:ind w:left="7260" w:hanging="722"/>
      </w:pPr>
      <w:rPr>
        <w:rFonts w:hint="default"/>
        <w:lang w:val="en-GB" w:eastAsia="en-GB" w:bidi="en-GB"/>
      </w:rPr>
    </w:lvl>
  </w:abstractNum>
  <w:abstractNum w:abstractNumId="2" w15:restartNumberingAfterBreak="0">
    <w:nsid w:val="0FB36F07"/>
    <w:multiLevelType w:val="hybridMultilevel"/>
    <w:tmpl w:val="4CB29AC4"/>
    <w:lvl w:ilvl="0" w:tplc="3BA20A12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4687"/>
    <w:multiLevelType w:val="hybridMultilevel"/>
    <w:tmpl w:val="D61A1F6A"/>
    <w:lvl w:ilvl="0" w:tplc="0A360D0E">
      <w:start w:val="1"/>
      <w:numFmt w:val="lowerLetter"/>
      <w:lvlText w:val="%1)"/>
      <w:lvlJc w:val="left"/>
      <w:pPr>
        <w:ind w:left="470" w:hanging="369"/>
        <w:jc w:val="left"/>
      </w:pPr>
      <w:rPr>
        <w:rFonts w:hint="default"/>
        <w:b/>
        <w:bCs/>
        <w:spacing w:val="0"/>
        <w:w w:val="101"/>
        <w:lang w:val="en-GB" w:eastAsia="en-GB" w:bidi="en-GB"/>
      </w:rPr>
    </w:lvl>
    <w:lvl w:ilvl="1" w:tplc="DE5C2F74">
      <w:start w:val="1"/>
      <w:numFmt w:val="lowerRoman"/>
      <w:lvlText w:val="%2)"/>
      <w:lvlJc w:val="left"/>
      <w:pPr>
        <w:ind w:left="907" w:hanging="481"/>
        <w:jc w:val="right"/>
      </w:pPr>
      <w:rPr>
        <w:rFonts w:ascii="Arial" w:eastAsia="Arial" w:hAnsi="Arial" w:cs="Arial" w:hint="default"/>
        <w:spacing w:val="-2"/>
        <w:w w:val="101"/>
        <w:sz w:val="22"/>
        <w:szCs w:val="22"/>
        <w:lang w:val="en-GB" w:eastAsia="en-GB" w:bidi="en-GB"/>
      </w:rPr>
    </w:lvl>
    <w:lvl w:ilvl="2" w:tplc="4F8069C6">
      <w:numFmt w:val="bullet"/>
      <w:lvlText w:val="•"/>
      <w:lvlJc w:val="left"/>
      <w:pPr>
        <w:ind w:left="2041" w:hanging="481"/>
      </w:pPr>
      <w:rPr>
        <w:rFonts w:hint="default"/>
        <w:lang w:val="en-GB" w:eastAsia="en-GB" w:bidi="en-GB"/>
      </w:rPr>
    </w:lvl>
    <w:lvl w:ilvl="3" w:tplc="6DB404AC">
      <w:numFmt w:val="bullet"/>
      <w:lvlText w:val="•"/>
      <w:lvlJc w:val="left"/>
      <w:pPr>
        <w:ind w:left="2883" w:hanging="481"/>
      </w:pPr>
      <w:rPr>
        <w:rFonts w:hint="default"/>
        <w:lang w:val="en-GB" w:eastAsia="en-GB" w:bidi="en-GB"/>
      </w:rPr>
    </w:lvl>
    <w:lvl w:ilvl="4" w:tplc="8BB64116">
      <w:numFmt w:val="bullet"/>
      <w:lvlText w:val="•"/>
      <w:lvlJc w:val="left"/>
      <w:pPr>
        <w:ind w:left="3725" w:hanging="481"/>
      </w:pPr>
      <w:rPr>
        <w:rFonts w:hint="default"/>
        <w:lang w:val="en-GB" w:eastAsia="en-GB" w:bidi="en-GB"/>
      </w:rPr>
    </w:lvl>
    <w:lvl w:ilvl="5" w:tplc="3312A396">
      <w:numFmt w:val="bullet"/>
      <w:lvlText w:val="•"/>
      <w:lvlJc w:val="left"/>
      <w:pPr>
        <w:ind w:left="4567" w:hanging="481"/>
      </w:pPr>
      <w:rPr>
        <w:rFonts w:hint="default"/>
        <w:lang w:val="en-GB" w:eastAsia="en-GB" w:bidi="en-GB"/>
      </w:rPr>
    </w:lvl>
    <w:lvl w:ilvl="6" w:tplc="4D2E651C">
      <w:numFmt w:val="bullet"/>
      <w:lvlText w:val="•"/>
      <w:lvlJc w:val="left"/>
      <w:pPr>
        <w:ind w:left="5408" w:hanging="481"/>
      </w:pPr>
      <w:rPr>
        <w:rFonts w:hint="default"/>
        <w:lang w:val="en-GB" w:eastAsia="en-GB" w:bidi="en-GB"/>
      </w:rPr>
    </w:lvl>
    <w:lvl w:ilvl="7" w:tplc="4C70B7E8">
      <w:numFmt w:val="bullet"/>
      <w:lvlText w:val="•"/>
      <w:lvlJc w:val="left"/>
      <w:pPr>
        <w:ind w:left="6250" w:hanging="481"/>
      </w:pPr>
      <w:rPr>
        <w:rFonts w:hint="default"/>
        <w:lang w:val="en-GB" w:eastAsia="en-GB" w:bidi="en-GB"/>
      </w:rPr>
    </w:lvl>
    <w:lvl w:ilvl="8" w:tplc="CEB6ADCC">
      <w:numFmt w:val="bullet"/>
      <w:lvlText w:val="•"/>
      <w:lvlJc w:val="left"/>
      <w:pPr>
        <w:ind w:left="7092" w:hanging="481"/>
      </w:pPr>
      <w:rPr>
        <w:rFonts w:hint="default"/>
        <w:lang w:val="en-GB" w:eastAsia="en-GB" w:bidi="en-GB"/>
      </w:rPr>
    </w:lvl>
  </w:abstractNum>
  <w:abstractNum w:abstractNumId="4" w15:restartNumberingAfterBreak="0">
    <w:nsid w:val="2EE704C9"/>
    <w:multiLevelType w:val="hybridMultilevel"/>
    <w:tmpl w:val="63006888"/>
    <w:lvl w:ilvl="0" w:tplc="841A5412">
      <w:start w:val="1"/>
      <w:numFmt w:val="lowerLetter"/>
      <w:lvlText w:val="%1)"/>
      <w:lvlJc w:val="left"/>
      <w:pPr>
        <w:ind w:left="470" w:hanging="369"/>
        <w:jc w:val="left"/>
      </w:pPr>
      <w:rPr>
        <w:rFonts w:ascii="Arial" w:eastAsia="Arial" w:hAnsi="Arial" w:cs="Arial" w:hint="default"/>
        <w:b/>
        <w:bCs/>
        <w:spacing w:val="0"/>
        <w:w w:val="101"/>
        <w:sz w:val="22"/>
        <w:szCs w:val="22"/>
        <w:lang w:val="en-GB" w:eastAsia="en-GB" w:bidi="en-GB"/>
      </w:rPr>
    </w:lvl>
    <w:lvl w:ilvl="1" w:tplc="B07AB212">
      <w:numFmt w:val="bullet"/>
      <w:lvlText w:val="•"/>
      <w:lvlJc w:val="left"/>
      <w:pPr>
        <w:ind w:left="1324" w:hanging="369"/>
      </w:pPr>
      <w:rPr>
        <w:rFonts w:hint="default"/>
        <w:lang w:val="en-GB" w:eastAsia="en-GB" w:bidi="en-GB"/>
      </w:rPr>
    </w:lvl>
    <w:lvl w:ilvl="2" w:tplc="FDF06746">
      <w:numFmt w:val="bullet"/>
      <w:lvlText w:val="•"/>
      <w:lvlJc w:val="left"/>
      <w:pPr>
        <w:ind w:left="2168" w:hanging="369"/>
      </w:pPr>
      <w:rPr>
        <w:rFonts w:hint="default"/>
        <w:lang w:val="en-GB" w:eastAsia="en-GB" w:bidi="en-GB"/>
      </w:rPr>
    </w:lvl>
    <w:lvl w:ilvl="3" w:tplc="5F768D2C">
      <w:numFmt w:val="bullet"/>
      <w:lvlText w:val="•"/>
      <w:lvlJc w:val="left"/>
      <w:pPr>
        <w:ind w:left="3012" w:hanging="369"/>
      </w:pPr>
      <w:rPr>
        <w:rFonts w:hint="default"/>
        <w:lang w:val="en-GB" w:eastAsia="en-GB" w:bidi="en-GB"/>
      </w:rPr>
    </w:lvl>
    <w:lvl w:ilvl="4" w:tplc="7C5E9E0C">
      <w:numFmt w:val="bullet"/>
      <w:lvlText w:val="•"/>
      <w:lvlJc w:val="left"/>
      <w:pPr>
        <w:ind w:left="3856" w:hanging="369"/>
      </w:pPr>
      <w:rPr>
        <w:rFonts w:hint="default"/>
        <w:lang w:val="en-GB" w:eastAsia="en-GB" w:bidi="en-GB"/>
      </w:rPr>
    </w:lvl>
    <w:lvl w:ilvl="5" w:tplc="9A66D696">
      <w:numFmt w:val="bullet"/>
      <w:lvlText w:val="•"/>
      <w:lvlJc w:val="left"/>
      <w:pPr>
        <w:ind w:left="4700" w:hanging="369"/>
      </w:pPr>
      <w:rPr>
        <w:rFonts w:hint="default"/>
        <w:lang w:val="en-GB" w:eastAsia="en-GB" w:bidi="en-GB"/>
      </w:rPr>
    </w:lvl>
    <w:lvl w:ilvl="6" w:tplc="F64C7186">
      <w:numFmt w:val="bullet"/>
      <w:lvlText w:val="•"/>
      <w:lvlJc w:val="left"/>
      <w:pPr>
        <w:ind w:left="5544" w:hanging="369"/>
      </w:pPr>
      <w:rPr>
        <w:rFonts w:hint="default"/>
        <w:lang w:val="en-GB" w:eastAsia="en-GB" w:bidi="en-GB"/>
      </w:rPr>
    </w:lvl>
    <w:lvl w:ilvl="7" w:tplc="AAF4EA68">
      <w:numFmt w:val="bullet"/>
      <w:lvlText w:val="•"/>
      <w:lvlJc w:val="left"/>
      <w:pPr>
        <w:ind w:left="6388" w:hanging="369"/>
      </w:pPr>
      <w:rPr>
        <w:rFonts w:hint="default"/>
        <w:lang w:val="en-GB" w:eastAsia="en-GB" w:bidi="en-GB"/>
      </w:rPr>
    </w:lvl>
    <w:lvl w:ilvl="8" w:tplc="2B7447C6">
      <w:numFmt w:val="bullet"/>
      <w:lvlText w:val="•"/>
      <w:lvlJc w:val="left"/>
      <w:pPr>
        <w:ind w:left="7232" w:hanging="369"/>
      </w:pPr>
      <w:rPr>
        <w:rFonts w:hint="default"/>
        <w:lang w:val="en-GB" w:eastAsia="en-GB" w:bidi="en-GB"/>
      </w:rPr>
    </w:lvl>
  </w:abstractNum>
  <w:abstractNum w:abstractNumId="5" w15:restartNumberingAfterBreak="0">
    <w:nsid w:val="38443A00"/>
    <w:multiLevelType w:val="hybridMultilevel"/>
    <w:tmpl w:val="B50E75AE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46916106"/>
    <w:multiLevelType w:val="hybridMultilevel"/>
    <w:tmpl w:val="CB2AA160"/>
    <w:lvl w:ilvl="0" w:tplc="52CCC8A8">
      <w:start w:val="1"/>
      <w:numFmt w:val="bullet"/>
      <w:lvlText w:val="•"/>
      <w:lvlJc w:val="left"/>
      <w:pPr>
        <w:ind w:left="442" w:hanging="300"/>
      </w:pPr>
      <w:rPr>
        <w:rFonts w:ascii="Calibri" w:eastAsia="Calibri" w:hAnsi="Calibri" w:cs="Calibri" w:hint="default"/>
        <w:color w:val="auto"/>
        <w:w w:val="100"/>
        <w:sz w:val="24"/>
        <w:szCs w:val="24"/>
      </w:rPr>
    </w:lvl>
    <w:lvl w:ilvl="1" w:tplc="60DEA0F2">
      <w:start w:val="1"/>
      <w:numFmt w:val="bullet"/>
      <w:lvlText w:val="•"/>
      <w:lvlJc w:val="left"/>
      <w:pPr>
        <w:ind w:left="1147" w:hanging="300"/>
      </w:pPr>
      <w:rPr>
        <w:rFonts w:hint="default"/>
      </w:rPr>
    </w:lvl>
    <w:lvl w:ilvl="2" w:tplc="159A2F4E">
      <w:start w:val="1"/>
      <w:numFmt w:val="bullet"/>
      <w:lvlText w:val="•"/>
      <w:lvlJc w:val="left"/>
      <w:pPr>
        <w:ind w:left="1850" w:hanging="300"/>
      </w:pPr>
      <w:rPr>
        <w:rFonts w:hint="default"/>
      </w:rPr>
    </w:lvl>
    <w:lvl w:ilvl="3" w:tplc="3760E652">
      <w:start w:val="1"/>
      <w:numFmt w:val="bullet"/>
      <w:lvlText w:val="•"/>
      <w:lvlJc w:val="left"/>
      <w:pPr>
        <w:ind w:left="2552" w:hanging="300"/>
      </w:pPr>
      <w:rPr>
        <w:rFonts w:hint="default"/>
      </w:rPr>
    </w:lvl>
    <w:lvl w:ilvl="4" w:tplc="5FF21BCE">
      <w:start w:val="1"/>
      <w:numFmt w:val="bullet"/>
      <w:lvlText w:val="•"/>
      <w:lvlJc w:val="left"/>
      <w:pPr>
        <w:ind w:left="3255" w:hanging="300"/>
      </w:pPr>
      <w:rPr>
        <w:rFonts w:hint="default"/>
      </w:rPr>
    </w:lvl>
    <w:lvl w:ilvl="5" w:tplc="0D7E0CC0">
      <w:start w:val="1"/>
      <w:numFmt w:val="bullet"/>
      <w:lvlText w:val="•"/>
      <w:lvlJc w:val="left"/>
      <w:pPr>
        <w:ind w:left="3958" w:hanging="300"/>
      </w:pPr>
      <w:rPr>
        <w:rFonts w:hint="default"/>
      </w:rPr>
    </w:lvl>
    <w:lvl w:ilvl="6" w:tplc="83B88DD0">
      <w:start w:val="1"/>
      <w:numFmt w:val="bullet"/>
      <w:lvlText w:val="•"/>
      <w:lvlJc w:val="left"/>
      <w:pPr>
        <w:ind w:left="4660" w:hanging="300"/>
      </w:pPr>
      <w:rPr>
        <w:rFonts w:hint="default"/>
      </w:rPr>
    </w:lvl>
    <w:lvl w:ilvl="7" w:tplc="D39A7854">
      <w:start w:val="1"/>
      <w:numFmt w:val="bullet"/>
      <w:lvlText w:val="•"/>
      <w:lvlJc w:val="left"/>
      <w:pPr>
        <w:ind w:left="5363" w:hanging="300"/>
      </w:pPr>
      <w:rPr>
        <w:rFonts w:hint="default"/>
      </w:rPr>
    </w:lvl>
    <w:lvl w:ilvl="8" w:tplc="A8F2E134">
      <w:start w:val="1"/>
      <w:numFmt w:val="bullet"/>
      <w:lvlText w:val="•"/>
      <w:lvlJc w:val="left"/>
      <w:pPr>
        <w:ind w:left="6065" w:hanging="300"/>
      </w:pPr>
      <w:rPr>
        <w:rFonts w:hint="default"/>
      </w:rPr>
    </w:lvl>
  </w:abstractNum>
  <w:abstractNum w:abstractNumId="7" w15:restartNumberingAfterBreak="0">
    <w:nsid w:val="48412701"/>
    <w:multiLevelType w:val="hybridMultilevel"/>
    <w:tmpl w:val="2C8C6D0E"/>
    <w:lvl w:ilvl="0" w:tplc="240AFF7E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1"/>
        <w:sz w:val="22"/>
        <w:szCs w:val="22"/>
        <w:lang w:val="en-GB" w:eastAsia="en-GB" w:bidi="en-GB"/>
      </w:rPr>
    </w:lvl>
    <w:lvl w:ilvl="1" w:tplc="3BA20A12">
      <w:numFmt w:val="bullet"/>
      <w:lvlText w:val="•"/>
      <w:lvlJc w:val="left"/>
      <w:pPr>
        <w:ind w:left="1630" w:hanging="353"/>
      </w:pPr>
      <w:rPr>
        <w:rFonts w:hint="default"/>
        <w:lang w:val="en-GB" w:eastAsia="en-GB" w:bidi="en-GB"/>
      </w:rPr>
    </w:lvl>
    <w:lvl w:ilvl="2" w:tplc="BEEAD16E">
      <w:numFmt w:val="bullet"/>
      <w:lvlText w:val="•"/>
      <w:lvlJc w:val="left"/>
      <w:pPr>
        <w:ind w:left="2440" w:hanging="353"/>
      </w:pPr>
      <w:rPr>
        <w:rFonts w:hint="default"/>
        <w:lang w:val="en-GB" w:eastAsia="en-GB" w:bidi="en-GB"/>
      </w:rPr>
    </w:lvl>
    <w:lvl w:ilvl="3" w:tplc="1BD88032">
      <w:numFmt w:val="bullet"/>
      <w:lvlText w:val="•"/>
      <w:lvlJc w:val="left"/>
      <w:pPr>
        <w:ind w:left="3250" w:hanging="353"/>
      </w:pPr>
      <w:rPr>
        <w:rFonts w:hint="default"/>
        <w:lang w:val="en-GB" w:eastAsia="en-GB" w:bidi="en-GB"/>
      </w:rPr>
    </w:lvl>
    <w:lvl w:ilvl="4" w:tplc="6D8C059A">
      <w:numFmt w:val="bullet"/>
      <w:lvlText w:val="•"/>
      <w:lvlJc w:val="left"/>
      <w:pPr>
        <w:ind w:left="4060" w:hanging="353"/>
      </w:pPr>
      <w:rPr>
        <w:rFonts w:hint="default"/>
        <w:lang w:val="en-GB" w:eastAsia="en-GB" w:bidi="en-GB"/>
      </w:rPr>
    </w:lvl>
    <w:lvl w:ilvl="5" w:tplc="399EDF9A">
      <w:numFmt w:val="bullet"/>
      <w:lvlText w:val="•"/>
      <w:lvlJc w:val="left"/>
      <w:pPr>
        <w:ind w:left="4870" w:hanging="353"/>
      </w:pPr>
      <w:rPr>
        <w:rFonts w:hint="default"/>
        <w:lang w:val="en-GB" w:eastAsia="en-GB" w:bidi="en-GB"/>
      </w:rPr>
    </w:lvl>
    <w:lvl w:ilvl="6" w:tplc="9F06581E">
      <w:numFmt w:val="bullet"/>
      <w:lvlText w:val="•"/>
      <w:lvlJc w:val="left"/>
      <w:pPr>
        <w:ind w:left="5680" w:hanging="353"/>
      </w:pPr>
      <w:rPr>
        <w:rFonts w:hint="default"/>
        <w:lang w:val="en-GB" w:eastAsia="en-GB" w:bidi="en-GB"/>
      </w:rPr>
    </w:lvl>
    <w:lvl w:ilvl="7" w:tplc="0EE48598">
      <w:numFmt w:val="bullet"/>
      <w:lvlText w:val="•"/>
      <w:lvlJc w:val="left"/>
      <w:pPr>
        <w:ind w:left="6490" w:hanging="353"/>
      </w:pPr>
      <w:rPr>
        <w:rFonts w:hint="default"/>
        <w:lang w:val="en-GB" w:eastAsia="en-GB" w:bidi="en-GB"/>
      </w:rPr>
    </w:lvl>
    <w:lvl w:ilvl="8" w:tplc="962C89B4">
      <w:numFmt w:val="bullet"/>
      <w:lvlText w:val="•"/>
      <w:lvlJc w:val="left"/>
      <w:pPr>
        <w:ind w:left="7300" w:hanging="353"/>
      </w:pPr>
      <w:rPr>
        <w:rFonts w:hint="default"/>
        <w:lang w:val="en-GB" w:eastAsia="en-GB" w:bidi="en-GB"/>
      </w:rPr>
    </w:lvl>
  </w:abstractNum>
  <w:abstractNum w:abstractNumId="8" w15:restartNumberingAfterBreak="0">
    <w:nsid w:val="613D286C"/>
    <w:multiLevelType w:val="hybridMultilevel"/>
    <w:tmpl w:val="E496CFFC"/>
    <w:lvl w:ilvl="0" w:tplc="3BA20A12">
      <w:numFmt w:val="bullet"/>
      <w:lvlText w:val="•"/>
      <w:lvlJc w:val="left"/>
      <w:pPr>
        <w:ind w:left="1006" w:hanging="722"/>
        <w:jc w:val="left"/>
      </w:pPr>
      <w:rPr>
        <w:rFonts w:hint="default"/>
        <w:spacing w:val="-2"/>
        <w:w w:val="101"/>
        <w:sz w:val="22"/>
        <w:szCs w:val="22"/>
        <w:lang w:val="en-GB" w:eastAsia="en-GB" w:bidi="en-GB"/>
      </w:rPr>
    </w:lvl>
    <w:lvl w:ilvl="1" w:tplc="1AE4E86A">
      <w:numFmt w:val="bullet"/>
      <w:lvlText w:val="•"/>
      <w:lvlJc w:val="left"/>
      <w:pPr>
        <w:ind w:left="1772" w:hanging="722"/>
      </w:pPr>
      <w:rPr>
        <w:rFonts w:hint="default"/>
        <w:lang w:val="en-GB" w:eastAsia="en-GB" w:bidi="en-GB"/>
      </w:rPr>
    </w:lvl>
    <w:lvl w:ilvl="2" w:tplc="DFB849DC">
      <w:numFmt w:val="bullet"/>
      <w:lvlText w:val="•"/>
      <w:lvlJc w:val="left"/>
      <w:pPr>
        <w:ind w:left="2530" w:hanging="722"/>
      </w:pPr>
      <w:rPr>
        <w:rFonts w:hint="default"/>
        <w:lang w:val="en-GB" w:eastAsia="en-GB" w:bidi="en-GB"/>
      </w:rPr>
    </w:lvl>
    <w:lvl w:ilvl="3" w:tplc="CCDCA36C">
      <w:numFmt w:val="bullet"/>
      <w:lvlText w:val="•"/>
      <w:lvlJc w:val="left"/>
      <w:pPr>
        <w:ind w:left="3287" w:hanging="722"/>
      </w:pPr>
      <w:rPr>
        <w:rFonts w:hint="default"/>
        <w:lang w:val="en-GB" w:eastAsia="en-GB" w:bidi="en-GB"/>
      </w:rPr>
    </w:lvl>
    <w:lvl w:ilvl="4" w:tplc="FB184DBE">
      <w:numFmt w:val="bullet"/>
      <w:lvlText w:val="•"/>
      <w:lvlJc w:val="left"/>
      <w:pPr>
        <w:ind w:left="4045" w:hanging="722"/>
      </w:pPr>
      <w:rPr>
        <w:rFonts w:hint="default"/>
        <w:lang w:val="en-GB" w:eastAsia="en-GB" w:bidi="en-GB"/>
      </w:rPr>
    </w:lvl>
    <w:lvl w:ilvl="5" w:tplc="CC00D83E">
      <w:numFmt w:val="bullet"/>
      <w:lvlText w:val="•"/>
      <w:lvlJc w:val="left"/>
      <w:pPr>
        <w:ind w:left="4803" w:hanging="722"/>
      </w:pPr>
      <w:rPr>
        <w:rFonts w:hint="default"/>
        <w:lang w:val="en-GB" w:eastAsia="en-GB" w:bidi="en-GB"/>
      </w:rPr>
    </w:lvl>
    <w:lvl w:ilvl="6" w:tplc="849CC43E">
      <w:numFmt w:val="bullet"/>
      <w:lvlText w:val="•"/>
      <w:lvlJc w:val="left"/>
      <w:pPr>
        <w:ind w:left="5560" w:hanging="722"/>
      </w:pPr>
      <w:rPr>
        <w:rFonts w:hint="default"/>
        <w:lang w:val="en-GB" w:eastAsia="en-GB" w:bidi="en-GB"/>
      </w:rPr>
    </w:lvl>
    <w:lvl w:ilvl="7" w:tplc="35FC6368">
      <w:numFmt w:val="bullet"/>
      <w:lvlText w:val="•"/>
      <w:lvlJc w:val="left"/>
      <w:pPr>
        <w:ind w:left="6318" w:hanging="722"/>
      </w:pPr>
      <w:rPr>
        <w:rFonts w:hint="default"/>
        <w:lang w:val="en-GB" w:eastAsia="en-GB" w:bidi="en-GB"/>
      </w:rPr>
    </w:lvl>
    <w:lvl w:ilvl="8" w:tplc="EC587B40">
      <w:numFmt w:val="bullet"/>
      <w:lvlText w:val="•"/>
      <w:lvlJc w:val="left"/>
      <w:pPr>
        <w:ind w:left="7075" w:hanging="722"/>
      </w:pPr>
      <w:rPr>
        <w:rFonts w:hint="default"/>
        <w:lang w:val="en-GB" w:eastAsia="en-GB" w:bidi="en-GB"/>
      </w:rPr>
    </w:lvl>
  </w:abstractNum>
  <w:abstractNum w:abstractNumId="9" w15:restartNumberingAfterBreak="0">
    <w:nsid w:val="69692083"/>
    <w:multiLevelType w:val="hybridMultilevel"/>
    <w:tmpl w:val="10365D4E"/>
    <w:lvl w:ilvl="0" w:tplc="3BA20A12"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831D2C"/>
    <w:multiLevelType w:val="hybridMultilevel"/>
    <w:tmpl w:val="C82CE0E4"/>
    <w:lvl w:ilvl="0" w:tplc="0A360D0E">
      <w:start w:val="1"/>
      <w:numFmt w:val="lowerLetter"/>
      <w:lvlText w:val="%1)"/>
      <w:lvlJc w:val="left"/>
      <w:pPr>
        <w:ind w:left="470" w:hanging="369"/>
        <w:jc w:val="left"/>
      </w:pPr>
      <w:rPr>
        <w:rFonts w:hint="default"/>
        <w:b/>
        <w:bCs/>
        <w:spacing w:val="0"/>
        <w:w w:val="101"/>
        <w:lang w:val="en-GB" w:eastAsia="en-GB" w:bidi="en-GB"/>
      </w:rPr>
    </w:lvl>
    <w:lvl w:ilvl="1" w:tplc="1AC8F3C4">
      <w:start w:val="1"/>
      <w:numFmt w:val="lowerRoman"/>
      <w:lvlText w:val="%2."/>
      <w:lvlJc w:val="left"/>
      <w:pPr>
        <w:ind w:left="623" w:hanging="481"/>
        <w:jc w:val="right"/>
      </w:pPr>
      <w:rPr>
        <w:rFonts w:ascii="Arial" w:eastAsia="Arial" w:hAnsi="Arial" w:cs="Arial" w:hint="default"/>
        <w:spacing w:val="-2"/>
        <w:w w:val="101"/>
        <w:sz w:val="22"/>
        <w:szCs w:val="22"/>
        <w:lang w:val="en-GB" w:eastAsia="en-GB" w:bidi="en-GB"/>
      </w:rPr>
    </w:lvl>
    <w:lvl w:ilvl="2" w:tplc="4F8069C6">
      <w:numFmt w:val="bullet"/>
      <w:lvlText w:val="•"/>
      <w:lvlJc w:val="left"/>
      <w:pPr>
        <w:ind w:left="2041" w:hanging="481"/>
      </w:pPr>
      <w:rPr>
        <w:rFonts w:hint="default"/>
        <w:lang w:val="en-GB" w:eastAsia="en-GB" w:bidi="en-GB"/>
      </w:rPr>
    </w:lvl>
    <w:lvl w:ilvl="3" w:tplc="6DB404AC">
      <w:numFmt w:val="bullet"/>
      <w:lvlText w:val="•"/>
      <w:lvlJc w:val="left"/>
      <w:pPr>
        <w:ind w:left="2883" w:hanging="481"/>
      </w:pPr>
      <w:rPr>
        <w:rFonts w:hint="default"/>
        <w:lang w:val="en-GB" w:eastAsia="en-GB" w:bidi="en-GB"/>
      </w:rPr>
    </w:lvl>
    <w:lvl w:ilvl="4" w:tplc="8BB64116">
      <w:numFmt w:val="bullet"/>
      <w:lvlText w:val="•"/>
      <w:lvlJc w:val="left"/>
      <w:pPr>
        <w:ind w:left="3725" w:hanging="481"/>
      </w:pPr>
      <w:rPr>
        <w:rFonts w:hint="default"/>
        <w:lang w:val="en-GB" w:eastAsia="en-GB" w:bidi="en-GB"/>
      </w:rPr>
    </w:lvl>
    <w:lvl w:ilvl="5" w:tplc="3312A396">
      <w:numFmt w:val="bullet"/>
      <w:lvlText w:val="•"/>
      <w:lvlJc w:val="left"/>
      <w:pPr>
        <w:ind w:left="4567" w:hanging="481"/>
      </w:pPr>
      <w:rPr>
        <w:rFonts w:hint="default"/>
        <w:lang w:val="en-GB" w:eastAsia="en-GB" w:bidi="en-GB"/>
      </w:rPr>
    </w:lvl>
    <w:lvl w:ilvl="6" w:tplc="4D2E651C">
      <w:numFmt w:val="bullet"/>
      <w:lvlText w:val="•"/>
      <w:lvlJc w:val="left"/>
      <w:pPr>
        <w:ind w:left="5408" w:hanging="481"/>
      </w:pPr>
      <w:rPr>
        <w:rFonts w:hint="default"/>
        <w:lang w:val="en-GB" w:eastAsia="en-GB" w:bidi="en-GB"/>
      </w:rPr>
    </w:lvl>
    <w:lvl w:ilvl="7" w:tplc="4C70B7E8">
      <w:numFmt w:val="bullet"/>
      <w:lvlText w:val="•"/>
      <w:lvlJc w:val="left"/>
      <w:pPr>
        <w:ind w:left="6250" w:hanging="481"/>
      </w:pPr>
      <w:rPr>
        <w:rFonts w:hint="default"/>
        <w:lang w:val="en-GB" w:eastAsia="en-GB" w:bidi="en-GB"/>
      </w:rPr>
    </w:lvl>
    <w:lvl w:ilvl="8" w:tplc="CEB6ADCC">
      <w:numFmt w:val="bullet"/>
      <w:lvlText w:val="•"/>
      <w:lvlJc w:val="left"/>
      <w:pPr>
        <w:ind w:left="7092" w:hanging="481"/>
      </w:pPr>
      <w:rPr>
        <w:rFonts w:hint="default"/>
        <w:lang w:val="en-GB" w:eastAsia="en-GB" w:bidi="en-GB"/>
      </w:rPr>
    </w:lvl>
  </w:abstractNum>
  <w:abstractNum w:abstractNumId="11" w15:restartNumberingAfterBreak="0">
    <w:nsid w:val="6A185EC7"/>
    <w:multiLevelType w:val="hybridMultilevel"/>
    <w:tmpl w:val="93A6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3171"/>
    <w:multiLevelType w:val="hybridMultilevel"/>
    <w:tmpl w:val="148CC4AE"/>
    <w:lvl w:ilvl="0" w:tplc="0A360D0E">
      <w:start w:val="1"/>
      <w:numFmt w:val="lowerLetter"/>
      <w:lvlText w:val="%1)"/>
      <w:lvlJc w:val="left"/>
      <w:pPr>
        <w:ind w:left="470" w:hanging="369"/>
        <w:jc w:val="left"/>
      </w:pPr>
      <w:rPr>
        <w:rFonts w:hint="default"/>
        <w:b/>
        <w:bCs/>
        <w:spacing w:val="0"/>
        <w:w w:val="101"/>
        <w:lang w:val="en-GB" w:eastAsia="en-GB" w:bidi="en-GB"/>
      </w:rPr>
    </w:lvl>
    <w:lvl w:ilvl="1" w:tplc="08090013">
      <w:start w:val="1"/>
      <w:numFmt w:val="upperRoman"/>
      <w:lvlText w:val="%2."/>
      <w:lvlJc w:val="right"/>
      <w:pPr>
        <w:ind w:left="623" w:hanging="481"/>
        <w:jc w:val="right"/>
      </w:pPr>
      <w:rPr>
        <w:rFonts w:hint="default"/>
        <w:spacing w:val="-2"/>
        <w:w w:val="101"/>
        <w:sz w:val="22"/>
        <w:szCs w:val="22"/>
        <w:lang w:val="en-GB" w:eastAsia="en-GB" w:bidi="en-GB"/>
      </w:rPr>
    </w:lvl>
    <w:lvl w:ilvl="2" w:tplc="4F8069C6">
      <w:numFmt w:val="bullet"/>
      <w:lvlText w:val="•"/>
      <w:lvlJc w:val="left"/>
      <w:pPr>
        <w:ind w:left="2041" w:hanging="481"/>
      </w:pPr>
      <w:rPr>
        <w:rFonts w:hint="default"/>
        <w:lang w:val="en-GB" w:eastAsia="en-GB" w:bidi="en-GB"/>
      </w:rPr>
    </w:lvl>
    <w:lvl w:ilvl="3" w:tplc="6DB404AC">
      <w:numFmt w:val="bullet"/>
      <w:lvlText w:val="•"/>
      <w:lvlJc w:val="left"/>
      <w:pPr>
        <w:ind w:left="2883" w:hanging="481"/>
      </w:pPr>
      <w:rPr>
        <w:rFonts w:hint="default"/>
        <w:lang w:val="en-GB" w:eastAsia="en-GB" w:bidi="en-GB"/>
      </w:rPr>
    </w:lvl>
    <w:lvl w:ilvl="4" w:tplc="8BB64116">
      <w:numFmt w:val="bullet"/>
      <w:lvlText w:val="•"/>
      <w:lvlJc w:val="left"/>
      <w:pPr>
        <w:ind w:left="3725" w:hanging="481"/>
      </w:pPr>
      <w:rPr>
        <w:rFonts w:hint="default"/>
        <w:lang w:val="en-GB" w:eastAsia="en-GB" w:bidi="en-GB"/>
      </w:rPr>
    </w:lvl>
    <w:lvl w:ilvl="5" w:tplc="3312A396">
      <w:numFmt w:val="bullet"/>
      <w:lvlText w:val="•"/>
      <w:lvlJc w:val="left"/>
      <w:pPr>
        <w:ind w:left="4567" w:hanging="481"/>
      </w:pPr>
      <w:rPr>
        <w:rFonts w:hint="default"/>
        <w:lang w:val="en-GB" w:eastAsia="en-GB" w:bidi="en-GB"/>
      </w:rPr>
    </w:lvl>
    <w:lvl w:ilvl="6" w:tplc="4D2E651C">
      <w:numFmt w:val="bullet"/>
      <w:lvlText w:val="•"/>
      <w:lvlJc w:val="left"/>
      <w:pPr>
        <w:ind w:left="5408" w:hanging="481"/>
      </w:pPr>
      <w:rPr>
        <w:rFonts w:hint="default"/>
        <w:lang w:val="en-GB" w:eastAsia="en-GB" w:bidi="en-GB"/>
      </w:rPr>
    </w:lvl>
    <w:lvl w:ilvl="7" w:tplc="4C70B7E8">
      <w:numFmt w:val="bullet"/>
      <w:lvlText w:val="•"/>
      <w:lvlJc w:val="left"/>
      <w:pPr>
        <w:ind w:left="6250" w:hanging="481"/>
      </w:pPr>
      <w:rPr>
        <w:rFonts w:hint="default"/>
        <w:lang w:val="en-GB" w:eastAsia="en-GB" w:bidi="en-GB"/>
      </w:rPr>
    </w:lvl>
    <w:lvl w:ilvl="8" w:tplc="CEB6ADCC">
      <w:numFmt w:val="bullet"/>
      <w:lvlText w:val="•"/>
      <w:lvlJc w:val="left"/>
      <w:pPr>
        <w:ind w:left="7092" w:hanging="481"/>
      </w:pPr>
      <w:rPr>
        <w:rFonts w:hint="default"/>
        <w:lang w:val="en-GB" w:eastAsia="en-GB" w:bidi="en-GB"/>
      </w:rPr>
    </w:lvl>
  </w:abstractNum>
  <w:abstractNum w:abstractNumId="13" w15:restartNumberingAfterBreak="0">
    <w:nsid w:val="6D37145C"/>
    <w:multiLevelType w:val="hybridMultilevel"/>
    <w:tmpl w:val="C83C5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743F9"/>
    <w:multiLevelType w:val="hybridMultilevel"/>
    <w:tmpl w:val="EF982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048D5"/>
    <w:multiLevelType w:val="hybridMultilevel"/>
    <w:tmpl w:val="9D94A170"/>
    <w:lvl w:ilvl="0" w:tplc="DE5C2F74">
      <w:start w:val="1"/>
      <w:numFmt w:val="lowerRoman"/>
      <w:lvlText w:val="%1)"/>
      <w:lvlJc w:val="left"/>
      <w:pPr>
        <w:ind w:left="722" w:hanging="722"/>
        <w:jc w:val="left"/>
      </w:pPr>
      <w:rPr>
        <w:rFonts w:ascii="Arial" w:eastAsia="Arial" w:hAnsi="Arial" w:cs="Arial" w:hint="default"/>
        <w:spacing w:val="-2"/>
        <w:w w:val="101"/>
        <w:sz w:val="22"/>
        <w:szCs w:val="22"/>
        <w:lang w:val="en-GB" w:eastAsia="en-GB" w:bidi="en-GB"/>
      </w:rPr>
    </w:lvl>
    <w:lvl w:ilvl="1" w:tplc="C82CBA56">
      <w:numFmt w:val="bullet"/>
      <w:lvlText w:val="•"/>
      <w:lvlJc w:val="left"/>
      <w:pPr>
        <w:ind w:left="1488" w:hanging="722"/>
      </w:pPr>
      <w:rPr>
        <w:rFonts w:hint="default"/>
        <w:lang w:val="en-GB" w:eastAsia="en-GB" w:bidi="en-GB"/>
      </w:rPr>
    </w:lvl>
    <w:lvl w:ilvl="2" w:tplc="08B2E50E">
      <w:numFmt w:val="bullet"/>
      <w:lvlText w:val="•"/>
      <w:lvlJc w:val="left"/>
      <w:pPr>
        <w:ind w:left="2246" w:hanging="722"/>
      </w:pPr>
      <w:rPr>
        <w:rFonts w:hint="default"/>
        <w:lang w:val="en-GB" w:eastAsia="en-GB" w:bidi="en-GB"/>
      </w:rPr>
    </w:lvl>
    <w:lvl w:ilvl="3" w:tplc="E8022534">
      <w:numFmt w:val="bullet"/>
      <w:lvlText w:val="•"/>
      <w:lvlJc w:val="left"/>
      <w:pPr>
        <w:ind w:left="3003" w:hanging="722"/>
      </w:pPr>
      <w:rPr>
        <w:rFonts w:hint="default"/>
        <w:lang w:val="en-GB" w:eastAsia="en-GB" w:bidi="en-GB"/>
      </w:rPr>
    </w:lvl>
    <w:lvl w:ilvl="4" w:tplc="B1884D9A">
      <w:numFmt w:val="bullet"/>
      <w:lvlText w:val="•"/>
      <w:lvlJc w:val="left"/>
      <w:pPr>
        <w:ind w:left="3761" w:hanging="722"/>
      </w:pPr>
      <w:rPr>
        <w:rFonts w:hint="default"/>
        <w:lang w:val="en-GB" w:eastAsia="en-GB" w:bidi="en-GB"/>
      </w:rPr>
    </w:lvl>
    <w:lvl w:ilvl="5" w:tplc="7AF45D1C">
      <w:numFmt w:val="bullet"/>
      <w:lvlText w:val="•"/>
      <w:lvlJc w:val="left"/>
      <w:pPr>
        <w:ind w:left="4519" w:hanging="722"/>
      </w:pPr>
      <w:rPr>
        <w:rFonts w:hint="default"/>
        <w:lang w:val="en-GB" w:eastAsia="en-GB" w:bidi="en-GB"/>
      </w:rPr>
    </w:lvl>
    <w:lvl w:ilvl="6" w:tplc="5F7C88B2">
      <w:numFmt w:val="bullet"/>
      <w:lvlText w:val="•"/>
      <w:lvlJc w:val="left"/>
      <w:pPr>
        <w:ind w:left="5276" w:hanging="722"/>
      </w:pPr>
      <w:rPr>
        <w:rFonts w:hint="default"/>
        <w:lang w:val="en-GB" w:eastAsia="en-GB" w:bidi="en-GB"/>
      </w:rPr>
    </w:lvl>
    <w:lvl w:ilvl="7" w:tplc="C066B0E6">
      <w:numFmt w:val="bullet"/>
      <w:lvlText w:val="•"/>
      <w:lvlJc w:val="left"/>
      <w:pPr>
        <w:ind w:left="6034" w:hanging="722"/>
      </w:pPr>
      <w:rPr>
        <w:rFonts w:hint="default"/>
        <w:lang w:val="en-GB" w:eastAsia="en-GB" w:bidi="en-GB"/>
      </w:rPr>
    </w:lvl>
    <w:lvl w:ilvl="8" w:tplc="E9CE0758">
      <w:numFmt w:val="bullet"/>
      <w:lvlText w:val="•"/>
      <w:lvlJc w:val="left"/>
      <w:pPr>
        <w:ind w:left="6791" w:hanging="722"/>
      </w:pPr>
      <w:rPr>
        <w:rFonts w:hint="default"/>
        <w:lang w:val="en-GB" w:eastAsia="en-GB" w:bidi="en-GB"/>
      </w:rPr>
    </w:lvl>
  </w:abstractNum>
  <w:abstractNum w:abstractNumId="16" w15:restartNumberingAfterBreak="0">
    <w:nsid w:val="7EC17B58"/>
    <w:multiLevelType w:val="hybridMultilevel"/>
    <w:tmpl w:val="40DEEE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F0F383B"/>
    <w:multiLevelType w:val="hybridMultilevel"/>
    <w:tmpl w:val="43DCD2EE"/>
    <w:lvl w:ilvl="0" w:tplc="A90249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A5"/>
    <w:rsid w:val="00040D50"/>
    <w:rsid w:val="000506AA"/>
    <w:rsid w:val="00076DC2"/>
    <w:rsid w:val="00114C36"/>
    <w:rsid w:val="001452F4"/>
    <w:rsid w:val="00166C5E"/>
    <w:rsid w:val="001823D8"/>
    <w:rsid w:val="001C506D"/>
    <w:rsid w:val="00205005"/>
    <w:rsid w:val="00235690"/>
    <w:rsid w:val="002965A2"/>
    <w:rsid w:val="002B0FCC"/>
    <w:rsid w:val="00431559"/>
    <w:rsid w:val="0045544C"/>
    <w:rsid w:val="00524D47"/>
    <w:rsid w:val="005D66AD"/>
    <w:rsid w:val="006576C8"/>
    <w:rsid w:val="00674C15"/>
    <w:rsid w:val="00783355"/>
    <w:rsid w:val="007A0CB2"/>
    <w:rsid w:val="007B25CA"/>
    <w:rsid w:val="00850F78"/>
    <w:rsid w:val="00865310"/>
    <w:rsid w:val="008739DF"/>
    <w:rsid w:val="008A5D07"/>
    <w:rsid w:val="008A6612"/>
    <w:rsid w:val="008D1C7E"/>
    <w:rsid w:val="009630A4"/>
    <w:rsid w:val="009A68CF"/>
    <w:rsid w:val="00A0055C"/>
    <w:rsid w:val="00A2130D"/>
    <w:rsid w:val="00B0638D"/>
    <w:rsid w:val="00B10344"/>
    <w:rsid w:val="00B47D93"/>
    <w:rsid w:val="00B66DB7"/>
    <w:rsid w:val="00B751F6"/>
    <w:rsid w:val="00B92C05"/>
    <w:rsid w:val="00BF69FC"/>
    <w:rsid w:val="00C579F1"/>
    <w:rsid w:val="00C77FA5"/>
    <w:rsid w:val="00CF292C"/>
    <w:rsid w:val="00D12178"/>
    <w:rsid w:val="00D22826"/>
    <w:rsid w:val="00D73B3B"/>
    <w:rsid w:val="00DC2EB9"/>
    <w:rsid w:val="00EE4F4E"/>
    <w:rsid w:val="00F104C2"/>
    <w:rsid w:val="00F44A52"/>
    <w:rsid w:val="00F624A5"/>
    <w:rsid w:val="00FA128C"/>
    <w:rsid w:val="00FC03B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BD95"/>
  <w15:docId w15:val="{D8A405D8-8BCE-4F21-B3CB-09F677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A5"/>
  </w:style>
  <w:style w:type="paragraph" w:styleId="Heading1">
    <w:name w:val="heading 1"/>
    <w:basedOn w:val="Normal"/>
    <w:link w:val="Heading1Char"/>
    <w:uiPriority w:val="1"/>
    <w:qFormat/>
    <w:rsid w:val="00431559"/>
    <w:pPr>
      <w:widowControl w:val="0"/>
      <w:spacing w:before="69" w:after="0" w:line="240" w:lineRule="auto"/>
      <w:ind w:left="105" w:right="12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7F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7FA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7FA5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31559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1559"/>
    <w:pPr>
      <w:widowControl w:val="0"/>
      <w:spacing w:after="0" w:line="243" w:lineRule="exact"/>
      <w:ind w:left="112" w:right="43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2C"/>
  </w:style>
  <w:style w:type="paragraph" w:styleId="Footer">
    <w:name w:val="footer"/>
    <w:basedOn w:val="Normal"/>
    <w:link w:val="FooterChar"/>
    <w:uiPriority w:val="99"/>
    <w:unhideWhenUsed/>
    <w:rsid w:val="00C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674C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F6BE-9018-4A38-B7DD-0E3B7C1D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Brown</dc:creator>
  <cp:lastModifiedBy>Louanna Lubega</cp:lastModifiedBy>
  <cp:revision>2</cp:revision>
  <dcterms:created xsi:type="dcterms:W3CDTF">2022-09-20T20:42:00Z</dcterms:created>
  <dcterms:modified xsi:type="dcterms:W3CDTF">2022-09-20T20:42:00Z</dcterms:modified>
</cp:coreProperties>
</file>