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1AFB32B1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BE06B0">
        <w:rPr>
          <w:noProof/>
          <w:color w:val="auto"/>
          <w:sz w:val="24"/>
          <w:szCs w:val="24"/>
        </w:rPr>
        <w:t>23/02/2023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63A6335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AF6091">
        <w:rPr>
          <w:b/>
          <w:color w:val="212121"/>
          <w:sz w:val="24"/>
        </w:rPr>
        <w:t>1990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68EC348" w14:textId="3AD4CA5A" w:rsidR="00AF6091" w:rsidRDefault="00A66DA2" w:rsidP="00AF6091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12E60964" w14:textId="2C2798B6" w:rsidR="00AF6091" w:rsidRPr="001D5A21" w:rsidRDefault="00AF6091" w:rsidP="00AF6091">
      <w:pPr>
        <w:pStyle w:val="ListParagraph"/>
        <w:numPr>
          <w:ilvl w:val="0"/>
          <w:numId w:val="43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242424"/>
        </w:rPr>
      </w:pPr>
      <w:r w:rsidRPr="00432879">
        <w:rPr>
          <w:rFonts w:asciiTheme="minorHAnsi" w:eastAsia="Times New Roman" w:hAnsiTheme="minorHAnsi" w:cstheme="minorHAnsi"/>
          <w:b/>
          <w:bCs/>
          <w:color w:val="333333"/>
          <w:bdr w:val="none" w:sz="0" w:space="0" w:color="auto" w:frame="1"/>
        </w:rPr>
        <w:t>Do you currently receive a neutral vendor managed service, or master vendor managed service, for the supply of temporary agency staff?</w:t>
      </w:r>
    </w:p>
    <w:p w14:paraId="061A40BB" w14:textId="77777777" w:rsidR="001D5A21" w:rsidRPr="00432879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444"/>
        <w:rPr>
          <w:rFonts w:asciiTheme="minorHAnsi" w:eastAsia="Times New Roman" w:hAnsiTheme="minorHAnsi" w:cstheme="minorHAnsi"/>
          <w:color w:val="242424"/>
        </w:rPr>
      </w:pPr>
    </w:p>
    <w:p w14:paraId="6F9DB6AE" w14:textId="4A5B1EAB" w:rsidR="00AF6091" w:rsidRPr="00AF6091" w:rsidRDefault="00432879" w:rsidP="00AF6091">
      <w:pPr>
        <w:shd w:val="clear" w:color="auto" w:fill="FFFFFF"/>
        <w:spacing w:after="80" w:line="231" w:lineRule="atLeast"/>
        <w:rPr>
          <w:rFonts w:asciiTheme="minorHAnsi" w:eastAsia="Times New Roman" w:hAnsiTheme="minorHAnsi" w:cstheme="minorHAnsi"/>
          <w:color w:val="333333"/>
        </w:rPr>
      </w:pPr>
      <w:r w:rsidRPr="00432879">
        <w:rPr>
          <w:rFonts w:asciiTheme="minorHAnsi" w:hAnsiTheme="minorHAnsi" w:cstheme="minorHAnsi"/>
          <w:noProof/>
        </w:rPr>
        <w:drawing>
          <wp:inline distT="0" distB="0" distL="0" distR="0" wp14:anchorId="47AFA952" wp14:editId="4D389809">
            <wp:extent cx="6335395" cy="2120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D44B" w14:textId="3A2724D9" w:rsidR="00AF6091" w:rsidRPr="00BE06B0" w:rsidRDefault="00AF6091" w:rsidP="00BE06B0">
      <w:pPr>
        <w:pStyle w:val="ListParagraph"/>
        <w:numPr>
          <w:ilvl w:val="0"/>
          <w:numId w:val="43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242424"/>
        </w:rPr>
      </w:pPr>
      <w:r w:rsidRPr="00BE06B0">
        <w:rPr>
          <w:rFonts w:asciiTheme="minorHAnsi" w:eastAsia="Times New Roman" w:hAnsiTheme="minorHAnsi" w:cstheme="minorHAnsi"/>
          <w:b/>
          <w:bCs/>
          <w:color w:val="333333"/>
          <w:bdr w:val="none" w:sz="0" w:space="0" w:color="auto" w:frame="1"/>
        </w:rPr>
        <w:t>Do you currently have a direct engagement (DE) provider in place, for VAT reclaim on agency spend?</w:t>
      </w:r>
    </w:p>
    <w:p w14:paraId="0ABD6EA1" w14:textId="464B515E" w:rsidR="00BE06B0" w:rsidRPr="00BE06B0" w:rsidRDefault="00BE06B0" w:rsidP="00BE06B0">
      <w:pPr>
        <w:pStyle w:val="ListParagraph"/>
        <w:shd w:val="clear" w:color="auto" w:fill="FFFFFF"/>
        <w:spacing w:beforeAutospacing="1" w:after="0" w:line="236" w:lineRule="atLeast"/>
        <w:ind w:left="444"/>
        <w:rPr>
          <w:rFonts w:asciiTheme="minorHAnsi" w:eastAsia="Times New Roman" w:hAnsiTheme="minorHAnsi" w:cstheme="minorHAnsi"/>
          <w:color w:val="242424"/>
        </w:rPr>
      </w:pPr>
      <w:r w:rsidRPr="00BE06B0">
        <w:rPr>
          <w:rFonts w:asciiTheme="minorHAnsi" w:eastAsia="Times New Roman" w:hAnsiTheme="minorHAnsi" w:cstheme="minorHAnsi"/>
          <w:bCs/>
          <w:color w:val="333333"/>
          <w:bdr w:val="none" w:sz="0" w:space="0" w:color="auto" w:frame="1"/>
        </w:rPr>
        <w:t>Yes</w:t>
      </w:r>
    </w:p>
    <w:p w14:paraId="4EF30A85" w14:textId="0FE7FD00" w:rsidR="00BE06B0" w:rsidRPr="00BE06B0" w:rsidRDefault="00BE06B0" w:rsidP="00BE06B0">
      <w:pPr>
        <w:shd w:val="clear" w:color="auto" w:fill="FFFFFF"/>
        <w:spacing w:beforeAutospacing="1" w:after="0" w:line="236" w:lineRule="atLeast"/>
        <w:ind w:left="35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i</w:t>
      </w:r>
      <w:proofErr w:type="spellEnd"/>
      <w:r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.</w:t>
      </w:r>
      <w:proofErr w:type="gramStart"/>
      <w:r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  Medical</w:t>
      </w:r>
      <w:proofErr w:type="gramEnd"/>
      <w:r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 xml:space="preserve"> / Dental</w:t>
      </w:r>
    </w:p>
    <w:p w14:paraId="1D5B39D6" w14:textId="77777777" w:rsidR="001D5A21" w:rsidRDefault="00BE06B0" w:rsidP="00BE06B0">
      <w:pPr>
        <w:pStyle w:val="ListParagraph"/>
        <w:numPr>
          <w:ilvl w:val="0"/>
          <w:numId w:val="45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 w:rsidRPr="00BE06B0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>Name of the DE provider?</w:t>
      </w:r>
      <w:r w:rsidRPr="00BE06B0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 </w:t>
      </w:r>
    </w:p>
    <w:p w14:paraId="6C3E0F14" w14:textId="18D5CDD0" w:rsidR="001D5A21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86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Bedford:</w:t>
      </w:r>
      <w:r w:rsidR="00BE06B0" w:rsidRPr="00BE06B0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 Holt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 xml:space="preserve"> – Rolling contract</w:t>
      </w:r>
      <w:bookmarkStart w:id="0" w:name="_GoBack"/>
      <w:bookmarkEnd w:id="0"/>
    </w:p>
    <w:p w14:paraId="5CE76F19" w14:textId="2D59CDF9" w:rsidR="00BE06B0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86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Luton: Allocate 247 – June 2024</w:t>
      </w:r>
    </w:p>
    <w:p w14:paraId="693F967B" w14:textId="77777777" w:rsidR="001D5A21" w:rsidRPr="00BE06B0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86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</w:p>
    <w:p w14:paraId="57205A91" w14:textId="2151393F" w:rsidR="001D5A21" w:rsidRDefault="00BE06B0" w:rsidP="001D5A21">
      <w:pPr>
        <w:pStyle w:val="ListParagraph"/>
        <w:numPr>
          <w:ilvl w:val="0"/>
          <w:numId w:val="45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 w:rsidRPr="00BE06B0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>Expiry date of contract with the managed service provider?</w:t>
      </w:r>
      <w:r w:rsidRPr="00BE06B0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  </w:t>
      </w:r>
      <w:r w:rsid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As a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bove</w:t>
      </w:r>
    </w:p>
    <w:p w14:paraId="0AE5BB11" w14:textId="3D7F4900" w:rsidR="00BE06B0" w:rsidRPr="001D5A21" w:rsidRDefault="00BE06B0" w:rsidP="001D5A21">
      <w:pPr>
        <w:pStyle w:val="ListParagraph"/>
        <w:shd w:val="clear" w:color="auto" w:fill="FFFFFF"/>
        <w:spacing w:beforeAutospacing="1" w:after="0" w:line="236" w:lineRule="atLeast"/>
        <w:ind w:left="35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 w:rsidRP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br/>
      </w:r>
      <w:r w:rsidRPr="001D5A21"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 xml:space="preserve">ii. Allied Health Professionals (AHPs) / Scientific, Therapeutic and Technical </w:t>
      </w:r>
    </w:p>
    <w:p w14:paraId="0BFF2AEB" w14:textId="08C8C490" w:rsidR="001D5A21" w:rsidRPr="001D5A21" w:rsidRDefault="00BE06B0" w:rsidP="001D5A21">
      <w:pPr>
        <w:pStyle w:val="ListParagraph"/>
        <w:numPr>
          <w:ilvl w:val="0"/>
          <w:numId w:val="45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</w:pPr>
      <w:r w:rsidRPr="00BE06B0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>Name of the DE provider?</w:t>
      </w:r>
    </w:p>
    <w:p w14:paraId="4E66AC86" w14:textId="77777777" w:rsidR="001D5A21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86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Bedford:</w:t>
      </w:r>
      <w:r w:rsidRPr="00BE06B0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 Holt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 xml:space="preserve"> – Rolling contract</w:t>
      </w:r>
    </w:p>
    <w:p w14:paraId="53F573CF" w14:textId="77777777" w:rsidR="001D5A21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86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Luton: Allocate 247 – June 2024</w:t>
      </w:r>
    </w:p>
    <w:p w14:paraId="025957FE" w14:textId="77777777" w:rsidR="001D5A21" w:rsidRPr="00BE06B0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867"/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</w:pPr>
    </w:p>
    <w:p w14:paraId="636F97B5" w14:textId="0667F8DB" w:rsidR="00BE06B0" w:rsidRPr="00BE06B0" w:rsidRDefault="00BE06B0" w:rsidP="00BE06B0">
      <w:pPr>
        <w:pStyle w:val="ListParagraph"/>
        <w:numPr>
          <w:ilvl w:val="0"/>
          <w:numId w:val="45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</w:pPr>
      <w:r w:rsidRPr="00BE06B0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>Expiry date of contract with the managed service provider?</w:t>
      </w:r>
      <w:r w:rsidR="001D5A2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 xml:space="preserve"> </w:t>
      </w:r>
      <w:r w:rsid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As a</w:t>
      </w:r>
      <w:r w:rsidR="001D5A21" w:rsidRP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bove</w:t>
      </w:r>
    </w:p>
    <w:p w14:paraId="4B1BDBDC" w14:textId="5FCCDCA6" w:rsidR="00BE06B0" w:rsidRPr="00BE06B0" w:rsidRDefault="00BE06B0" w:rsidP="00BE06B0">
      <w:pPr>
        <w:shd w:val="clear" w:color="auto" w:fill="FFFFFF"/>
        <w:spacing w:beforeAutospacing="1" w:after="0" w:line="236" w:lineRule="atLeast"/>
        <w:ind w:left="357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 w:rsidRPr="00BE06B0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lastRenderedPageBreak/>
        <w:br/>
      </w:r>
      <w:r w:rsidRPr="00BE06B0"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iii. Non</w:t>
      </w:r>
      <w:r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-Medical, Non-Clinical (NMNC)</w:t>
      </w:r>
    </w:p>
    <w:p w14:paraId="06CE705A" w14:textId="29C642A4" w:rsidR="00BE06B0" w:rsidRPr="001D5A21" w:rsidRDefault="00BE06B0" w:rsidP="001D5A21">
      <w:pPr>
        <w:pStyle w:val="ListParagraph"/>
        <w:numPr>
          <w:ilvl w:val="0"/>
          <w:numId w:val="45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</w:pPr>
      <w:r w:rsidRPr="00BE06B0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>Name of the DE provider?</w:t>
      </w:r>
      <w:r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 xml:space="preserve"> – </w:t>
      </w:r>
      <w:r w:rsid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 xml:space="preserve">Allocate 247 – June </w:t>
      </w:r>
      <w:r w:rsid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2024</w:t>
      </w:r>
    </w:p>
    <w:p w14:paraId="1A7880AE" w14:textId="325557FF" w:rsidR="00BE06B0" w:rsidRDefault="00BE06B0" w:rsidP="003F3862">
      <w:pPr>
        <w:pStyle w:val="ListParagraph"/>
        <w:numPr>
          <w:ilvl w:val="0"/>
          <w:numId w:val="45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</w:pPr>
      <w:r w:rsidRPr="001D5A21"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  <w:t xml:space="preserve">Expiry date of contract with the managed service provider? </w:t>
      </w:r>
      <w:r w:rsid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As a</w:t>
      </w:r>
      <w:r w:rsidR="001D5A21" w:rsidRPr="001D5A21">
        <w:rPr>
          <w:rFonts w:asciiTheme="minorHAnsi" w:eastAsia="Times New Roman" w:hAnsiTheme="minorHAnsi" w:cstheme="minorHAnsi"/>
          <w:color w:val="333333"/>
          <w:bdr w:val="none" w:sz="0" w:space="0" w:color="auto" w:frame="1"/>
        </w:rPr>
        <w:t>bove</w:t>
      </w:r>
    </w:p>
    <w:p w14:paraId="687002C8" w14:textId="77777777" w:rsidR="001D5A21" w:rsidRPr="001D5A21" w:rsidRDefault="001D5A21" w:rsidP="001D5A21">
      <w:pPr>
        <w:pStyle w:val="ListParagraph"/>
        <w:shd w:val="clear" w:color="auto" w:fill="FFFFFF"/>
        <w:spacing w:beforeAutospacing="1" w:after="0" w:line="236" w:lineRule="atLeast"/>
        <w:ind w:left="867"/>
        <w:rPr>
          <w:rFonts w:asciiTheme="minorHAnsi" w:eastAsia="Times New Roman" w:hAnsiTheme="minorHAnsi" w:cstheme="minorHAnsi"/>
          <w:b/>
          <w:color w:val="333333"/>
          <w:bdr w:val="none" w:sz="0" w:space="0" w:color="auto" w:frame="1"/>
        </w:rPr>
      </w:pPr>
    </w:p>
    <w:p w14:paraId="4A8C5610" w14:textId="33E13CBC" w:rsidR="00AF6091" w:rsidRPr="00432879" w:rsidRDefault="00AF6091" w:rsidP="00AF6091">
      <w:pPr>
        <w:pStyle w:val="ListParagraph"/>
        <w:numPr>
          <w:ilvl w:val="0"/>
          <w:numId w:val="43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242424"/>
        </w:rPr>
      </w:pPr>
      <w:r w:rsidRPr="00432879">
        <w:rPr>
          <w:rFonts w:asciiTheme="minorHAnsi" w:eastAsia="Times New Roman" w:hAnsiTheme="minorHAnsi" w:cstheme="minorHAnsi"/>
          <w:b/>
          <w:bCs/>
          <w:color w:val="333333"/>
          <w:bdr w:val="none" w:sz="0" w:space="0" w:color="auto" w:frame="1"/>
        </w:rPr>
        <w:t>Please can you provide 2022 full calendar year (01/01/2022 – 31/12/2022) spend figures on temporary agency staff (agency throughput)?</w:t>
      </w:r>
    </w:p>
    <w:p w14:paraId="7F1953F6" w14:textId="2705D83A" w:rsidR="00AF6091" w:rsidRPr="00AF6091" w:rsidRDefault="00AF6091" w:rsidP="00AF6091">
      <w:pPr>
        <w:shd w:val="clear" w:color="auto" w:fill="FFFFFF"/>
        <w:spacing w:beforeAutospacing="1" w:after="0" w:line="236" w:lineRule="atLeast"/>
        <w:ind w:left="357"/>
        <w:rPr>
          <w:rFonts w:asciiTheme="minorHAnsi" w:eastAsia="Times New Roman" w:hAnsiTheme="minorHAnsi" w:cstheme="minorHAnsi"/>
          <w:color w:val="242424"/>
        </w:rPr>
      </w:pPr>
      <w:proofErr w:type="spellStart"/>
      <w:r w:rsidRPr="00AF6091"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i</w:t>
      </w:r>
      <w:proofErr w:type="spellEnd"/>
      <w:r w:rsidRPr="00AF6091"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. Medical / Dental</w:t>
      </w:r>
    </w:p>
    <w:p w14:paraId="09B6EFBE" w14:textId="1BED5586" w:rsidR="00AF6091" w:rsidRDefault="00AF6091" w:rsidP="00AF6091">
      <w:pPr>
        <w:numPr>
          <w:ilvl w:val="0"/>
          <w:numId w:val="30"/>
        </w:num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b/>
          <w:color w:val="333333"/>
        </w:rPr>
      </w:pPr>
      <w:r w:rsidRPr="00BE06B0">
        <w:rPr>
          <w:rFonts w:asciiTheme="minorHAnsi" w:eastAsia="Times New Roman" w:hAnsiTheme="minorHAnsi" w:cstheme="minorHAnsi"/>
          <w:b/>
          <w:color w:val="333333"/>
        </w:rPr>
        <w:t>2022 spend on temporary agency staff (excluding VAT)?</w:t>
      </w:r>
    </w:p>
    <w:p w14:paraId="7AF6C600" w14:textId="2BB51559" w:rsidR="00BE06B0" w:rsidRPr="00BE06B0" w:rsidRDefault="00BE06B0" w:rsidP="00BE06B0">
      <w:p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color w:val="333333"/>
        </w:rPr>
      </w:pPr>
      <w:r w:rsidRPr="00BE06B0">
        <w:rPr>
          <w:rFonts w:asciiTheme="minorHAnsi" w:eastAsia="Times New Roman" w:hAnsiTheme="minorHAnsi" w:cstheme="minorHAnsi"/>
          <w:color w:val="333333"/>
        </w:rPr>
        <w:t>£14,269,064</w:t>
      </w:r>
    </w:p>
    <w:p w14:paraId="4A180ABD" w14:textId="2644EF94" w:rsidR="00AF6091" w:rsidRPr="00AF6091" w:rsidRDefault="00AF6091" w:rsidP="00AF6091">
      <w:pPr>
        <w:shd w:val="clear" w:color="auto" w:fill="FFFFFF"/>
        <w:spacing w:beforeAutospacing="1" w:after="0" w:line="236" w:lineRule="atLeast"/>
        <w:ind w:left="357"/>
        <w:rPr>
          <w:rFonts w:asciiTheme="minorHAnsi" w:eastAsia="Times New Roman" w:hAnsiTheme="minorHAnsi" w:cstheme="minorHAnsi"/>
          <w:color w:val="242424"/>
        </w:rPr>
      </w:pPr>
      <w:r w:rsidRPr="00AF6091"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ii. Allied Health Professionals (AHPs) / Scientific, Therapeutic and Technical</w:t>
      </w:r>
    </w:p>
    <w:p w14:paraId="1760CFC7" w14:textId="627B500B" w:rsidR="00AF6091" w:rsidRDefault="00AF6091" w:rsidP="00AF6091">
      <w:pPr>
        <w:numPr>
          <w:ilvl w:val="0"/>
          <w:numId w:val="31"/>
        </w:num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b/>
          <w:color w:val="333333"/>
        </w:rPr>
      </w:pPr>
      <w:r w:rsidRPr="00BE06B0">
        <w:rPr>
          <w:rFonts w:asciiTheme="minorHAnsi" w:eastAsia="Times New Roman" w:hAnsiTheme="minorHAnsi" w:cstheme="minorHAnsi"/>
          <w:b/>
          <w:color w:val="333333"/>
        </w:rPr>
        <w:t>2022 spend on temporary agency staff (excluding VAT)?</w:t>
      </w:r>
    </w:p>
    <w:p w14:paraId="15BF2F03" w14:textId="44016A80" w:rsidR="00BE06B0" w:rsidRPr="00BE06B0" w:rsidRDefault="00BE06B0" w:rsidP="00BE06B0">
      <w:p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£3,004,718</w:t>
      </w:r>
    </w:p>
    <w:p w14:paraId="780FB3F8" w14:textId="2EB2A05F" w:rsidR="00AF6091" w:rsidRPr="00AF6091" w:rsidRDefault="00AF6091" w:rsidP="00AF6091">
      <w:pPr>
        <w:shd w:val="clear" w:color="auto" w:fill="FFFFFF"/>
        <w:spacing w:beforeAutospacing="1" w:after="0" w:line="236" w:lineRule="atLeast"/>
        <w:ind w:left="357"/>
        <w:rPr>
          <w:rFonts w:asciiTheme="minorHAnsi" w:eastAsia="Times New Roman" w:hAnsiTheme="minorHAnsi" w:cstheme="minorHAnsi"/>
          <w:color w:val="242424"/>
        </w:rPr>
      </w:pPr>
      <w:r w:rsidRPr="00AF6091"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iii. Nursing and Midwifery / Healthcare Assistants (HCAs)</w:t>
      </w:r>
    </w:p>
    <w:p w14:paraId="0D783785" w14:textId="055F9056" w:rsidR="00AF6091" w:rsidRDefault="00AF6091" w:rsidP="00AF6091">
      <w:pPr>
        <w:numPr>
          <w:ilvl w:val="0"/>
          <w:numId w:val="32"/>
        </w:num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b/>
          <w:color w:val="333333"/>
        </w:rPr>
      </w:pPr>
      <w:r w:rsidRPr="00BE06B0">
        <w:rPr>
          <w:rFonts w:asciiTheme="minorHAnsi" w:eastAsia="Times New Roman" w:hAnsiTheme="minorHAnsi" w:cstheme="minorHAnsi"/>
          <w:b/>
          <w:color w:val="333333"/>
        </w:rPr>
        <w:t>2022 spend on temporary agency staff (excluding VAT)?</w:t>
      </w:r>
    </w:p>
    <w:p w14:paraId="3E30F2EF" w14:textId="792FD52F" w:rsidR="00BE06B0" w:rsidRPr="00BE06B0" w:rsidRDefault="00BE06B0" w:rsidP="00BE06B0">
      <w:p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color w:val="333333"/>
        </w:rPr>
      </w:pPr>
      <w:r w:rsidRPr="00BE06B0">
        <w:rPr>
          <w:rFonts w:asciiTheme="minorHAnsi" w:eastAsia="Times New Roman" w:hAnsiTheme="minorHAnsi" w:cstheme="minorHAnsi"/>
          <w:color w:val="333333"/>
        </w:rPr>
        <w:t>£6,019,715</w:t>
      </w:r>
    </w:p>
    <w:p w14:paraId="57F697B2" w14:textId="6B0A2306" w:rsidR="00AF6091" w:rsidRPr="00AF6091" w:rsidRDefault="00AF6091" w:rsidP="00AF6091">
      <w:pPr>
        <w:shd w:val="clear" w:color="auto" w:fill="FFFFFF"/>
        <w:spacing w:beforeAutospacing="1" w:after="0" w:line="236" w:lineRule="atLeast"/>
        <w:ind w:left="357"/>
        <w:rPr>
          <w:rFonts w:asciiTheme="minorHAnsi" w:eastAsia="Times New Roman" w:hAnsiTheme="minorHAnsi" w:cstheme="minorHAnsi"/>
          <w:color w:val="242424"/>
        </w:rPr>
      </w:pPr>
      <w:r w:rsidRPr="00AF6091">
        <w:rPr>
          <w:rFonts w:asciiTheme="minorHAnsi" w:eastAsia="Times New Roman" w:hAnsiTheme="minorHAnsi" w:cstheme="minorHAnsi"/>
          <w:b/>
          <w:bCs/>
          <w:color w:val="333333"/>
          <w:u w:val="single"/>
          <w:bdr w:val="none" w:sz="0" w:space="0" w:color="auto" w:frame="1"/>
        </w:rPr>
        <w:t>iv. Non-Medical, Non-Clinical (NMNC)</w:t>
      </w:r>
    </w:p>
    <w:p w14:paraId="178895C8" w14:textId="57C18DF8" w:rsidR="00AF6091" w:rsidRDefault="00AF6091" w:rsidP="00AF6091">
      <w:pPr>
        <w:numPr>
          <w:ilvl w:val="0"/>
          <w:numId w:val="33"/>
        </w:num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b/>
          <w:color w:val="333333"/>
        </w:rPr>
      </w:pPr>
      <w:r w:rsidRPr="00BE06B0">
        <w:rPr>
          <w:rFonts w:asciiTheme="minorHAnsi" w:eastAsia="Times New Roman" w:hAnsiTheme="minorHAnsi" w:cstheme="minorHAnsi"/>
          <w:b/>
          <w:color w:val="333333"/>
        </w:rPr>
        <w:t>2022 spend on temporary agency staff (excluding VAT)?</w:t>
      </w:r>
    </w:p>
    <w:p w14:paraId="37705B0E" w14:textId="2CB43057" w:rsidR="00BE06B0" w:rsidRPr="00BE06B0" w:rsidRDefault="00BE06B0" w:rsidP="00BE06B0">
      <w:pPr>
        <w:shd w:val="clear" w:color="auto" w:fill="FFFFFF"/>
        <w:spacing w:after="80" w:line="231" w:lineRule="atLeast"/>
        <w:ind w:left="1080"/>
        <w:rPr>
          <w:rFonts w:asciiTheme="minorHAnsi" w:eastAsia="Times New Roman" w:hAnsiTheme="minorHAnsi" w:cstheme="minorHAnsi"/>
          <w:color w:val="333333"/>
        </w:rPr>
      </w:pPr>
      <w:r w:rsidRPr="00BE06B0">
        <w:rPr>
          <w:rFonts w:asciiTheme="minorHAnsi" w:eastAsia="Times New Roman" w:hAnsiTheme="minorHAnsi" w:cstheme="minorHAnsi"/>
          <w:color w:val="333333"/>
        </w:rPr>
        <w:t>£731,651</w:t>
      </w:r>
    </w:p>
    <w:p w14:paraId="6DE6C856" w14:textId="4A36DC44" w:rsidR="00AF6091" w:rsidRPr="00432879" w:rsidRDefault="00AF6091" w:rsidP="00AF6091">
      <w:pPr>
        <w:pStyle w:val="ListParagraph"/>
        <w:numPr>
          <w:ilvl w:val="0"/>
          <w:numId w:val="43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242424"/>
        </w:rPr>
      </w:pPr>
      <w:r w:rsidRPr="00432879">
        <w:rPr>
          <w:rFonts w:asciiTheme="minorHAnsi" w:eastAsia="Times New Roman" w:hAnsiTheme="minorHAnsi" w:cstheme="minorHAnsi"/>
          <w:b/>
          <w:bCs/>
          <w:color w:val="333333"/>
          <w:bdr w:val="none" w:sz="0" w:space="0" w:color="auto" w:frame="1"/>
        </w:rPr>
        <w:t>Please can you provide the name of the person who looks after temporary agency staffing at the Trust?</w:t>
      </w:r>
    </w:p>
    <w:p w14:paraId="35ACFD83" w14:textId="77777777" w:rsidR="00432879" w:rsidRPr="00432879" w:rsidRDefault="00432879" w:rsidP="00432879">
      <w:pPr>
        <w:pStyle w:val="ListParagraph"/>
        <w:shd w:val="clear" w:color="auto" w:fill="FFFFFF"/>
        <w:spacing w:beforeAutospacing="1" w:after="0" w:line="236" w:lineRule="atLeast"/>
        <w:ind w:left="444"/>
        <w:rPr>
          <w:rFonts w:asciiTheme="minorHAnsi" w:eastAsia="Times New Roman" w:hAnsiTheme="minorHAnsi" w:cstheme="minorHAnsi"/>
          <w:color w:val="242424"/>
        </w:rPr>
      </w:pPr>
    </w:p>
    <w:p w14:paraId="64AFA870" w14:textId="48865824" w:rsidR="00432879" w:rsidRPr="00432879" w:rsidRDefault="00432879" w:rsidP="00432879">
      <w:pPr>
        <w:pStyle w:val="ListParagraph"/>
        <w:shd w:val="clear" w:color="auto" w:fill="FFFFFF"/>
        <w:spacing w:beforeAutospacing="1" w:after="0" w:line="236" w:lineRule="atLeast"/>
        <w:ind w:left="444"/>
        <w:rPr>
          <w:rFonts w:asciiTheme="minorHAnsi" w:eastAsia="Times New Roman" w:hAnsiTheme="minorHAnsi" w:cstheme="minorHAnsi"/>
          <w:bCs/>
          <w:color w:val="333333"/>
          <w:bdr w:val="none" w:sz="0" w:space="0" w:color="auto" w:frame="1"/>
        </w:rPr>
      </w:pPr>
      <w:r w:rsidRPr="00432879">
        <w:rPr>
          <w:rFonts w:asciiTheme="minorHAnsi" w:eastAsia="Times New Roman" w:hAnsiTheme="minorHAnsi" w:cstheme="minorHAnsi"/>
          <w:bCs/>
          <w:color w:val="333333"/>
          <w:bdr w:val="none" w:sz="0" w:space="0" w:color="auto" w:frame="1"/>
        </w:rPr>
        <w:t>Exempt under Section 40 – Personal Information.</w:t>
      </w:r>
    </w:p>
    <w:p w14:paraId="64F036D7" w14:textId="77777777" w:rsidR="00432879" w:rsidRPr="00432879" w:rsidRDefault="00432879" w:rsidP="00432879">
      <w:pPr>
        <w:pStyle w:val="ListParagraph"/>
        <w:shd w:val="clear" w:color="auto" w:fill="FFFFFF"/>
        <w:spacing w:beforeAutospacing="1" w:after="0" w:line="236" w:lineRule="atLeast"/>
        <w:ind w:left="444"/>
        <w:rPr>
          <w:rFonts w:asciiTheme="minorHAnsi" w:eastAsia="Times New Roman" w:hAnsiTheme="minorHAnsi" w:cstheme="minorHAnsi"/>
          <w:color w:val="242424"/>
        </w:rPr>
      </w:pPr>
    </w:p>
    <w:p w14:paraId="40D7F9FA" w14:textId="4CEB1CB6" w:rsidR="00AF6091" w:rsidRPr="00432879" w:rsidRDefault="00AF6091" w:rsidP="00432879">
      <w:pPr>
        <w:pStyle w:val="ListParagraph"/>
        <w:numPr>
          <w:ilvl w:val="0"/>
          <w:numId w:val="43"/>
        </w:numPr>
        <w:shd w:val="clear" w:color="auto" w:fill="FFFFFF"/>
        <w:spacing w:beforeAutospacing="1" w:after="0" w:line="236" w:lineRule="atLeast"/>
        <w:rPr>
          <w:rFonts w:asciiTheme="minorHAnsi" w:eastAsia="Times New Roman" w:hAnsiTheme="minorHAnsi" w:cstheme="minorHAnsi"/>
          <w:color w:val="242424"/>
        </w:rPr>
      </w:pPr>
      <w:r w:rsidRPr="00432879">
        <w:rPr>
          <w:rFonts w:asciiTheme="minorHAnsi" w:eastAsia="Times New Roman" w:hAnsiTheme="minorHAnsi" w:cstheme="minorHAnsi"/>
          <w:b/>
          <w:bCs/>
          <w:color w:val="333333"/>
          <w:bdr w:val="none" w:sz="0" w:space="0" w:color="auto" w:frame="1"/>
        </w:rPr>
        <w:t>Please can you provide the name of the person who leads temporary agency staffing at ICS level?</w:t>
      </w:r>
    </w:p>
    <w:p w14:paraId="72B94163" w14:textId="77777777" w:rsidR="00432879" w:rsidRPr="00432879" w:rsidRDefault="00432879" w:rsidP="00432879">
      <w:pPr>
        <w:pStyle w:val="ListParagraph"/>
        <w:shd w:val="clear" w:color="auto" w:fill="FFFFFF"/>
        <w:spacing w:beforeAutospacing="1" w:after="0" w:line="236" w:lineRule="atLeast"/>
        <w:ind w:left="444"/>
        <w:rPr>
          <w:rFonts w:asciiTheme="minorHAnsi" w:eastAsia="Times New Roman" w:hAnsiTheme="minorHAnsi" w:cstheme="minorHAnsi"/>
          <w:color w:val="242424"/>
        </w:rPr>
      </w:pPr>
    </w:p>
    <w:p w14:paraId="4D577E22" w14:textId="77777777" w:rsidR="00432879" w:rsidRPr="00432879" w:rsidRDefault="00432879" w:rsidP="00432879">
      <w:pPr>
        <w:pStyle w:val="ListParagraph"/>
        <w:shd w:val="clear" w:color="auto" w:fill="FFFFFF"/>
        <w:spacing w:beforeAutospacing="1" w:after="0" w:line="236" w:lineRule="atLeast"/>
        <w:ind w:left="444"/>
        <w:rPr>
          <w:rFonts w:asciiTheme="minorHAnsi" w:eastAsia="Times New Roman" w:hAnsiTheme="minorHAnsi" w:cstheme="minorHAnsi"/>
          <w:bCs/>
          <w:color w:val="333333"/>
          <w:bdr w:val="none" w:sz="0" w:space="0" w:color="auto" w:frame="1"/>
        </w:rPr>
      </w:pPr>
      <w:r w:rsidRPr="00432879">
        <w:rPr>
          <w:rFonts w:asciiTheme="minorHAnsi" w:eastAsia="Times New Roman" w:hAnsiTheme="minorHAnsi" w:cstheme="minorHAnsi"/>
          <w:bCs/>
          <w:color w:val="333333"/>
          <w:bdr w:val="none" w:sz="0" w:space="0" w:color="auto" w:frame="1"/>
        </w:rPr>
        <w:t>Exempt under Section 40 – Personal Information.</w:t>
      </w:r>
    </w:p>
    <w:p w14:paraId="26029D41" w14:textId="77777777" w:rsidR="00432879" w:rsidRDefault="00432879" w:rsidP="00432879">
      <w:pPr>
        <w:spacing w:after="5" w:line="250" w:lineRule="auto"/>
        <w:ind w:left="454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lastRenderedPageBreak/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E09"/>
    <w:multiLevelType w:val="multilevel"/>
    <w:tmpl w:val="9E8A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4A39"/>
    <w:multiLevelType w:val="hybridMultilevel"/>
    <w:tmpl w:val="578C3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02704E"/>
    <w:multiLevelType w:val="multilevel"/>
    <w:tmpl w:val="5CD8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64DA"/>
    <w:multiLevelType w:val="multilevel"/>
    <w:tmpl w:val="8D6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A16D3C"/>
    <w:multiLevelType w:val="multilevel"/>
    <w:tmpl w:val="D79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C76B21"/>
    <w:multiLevelType w:val="multilevel"/>
    <w:tmpl w:val="5DCE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02D2"/>
    <w:multiLevelType w:val="multilevel"/>
    <w:tmpl w:val="ACA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D4402E"/>
    <w:multiLevelType w:val="hybridMultilevel"/>
    <w:tmpl w:val="CF882BC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5D43FE"/>
    <w:multiLevelType w:val="hybridMultilevel"/>
    <w:tmpl w:val="5D840550"/>
    <w:lvl w:ilvl="0" w:tplc="1DAA46EC">
      <w:start w:val="1"/>
      <w:numFmt w:val="decimal"/>
      <w:lvlText w:val="%1."/>
      <w:lvlJc w:val="left"/>
      <w:pPr>
        <w:ind w:left="444" w:hanging="444"/>
      </w:pPr>
      <w:rPr>
        <w:rFonts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D6DC2"/>
    <w:multiLevelType w:val="multilevel"/>
    <w:tmpl w:val="FA6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66417"/>
    <w:multiLevelType w:val="hybridMultilevel"/>
    <w:tmpl w:val="6BECD728"/>
    <w:lvl w:ilvl="0" w:tplc="06CE6C0E">
      <w:numFmt w:val="bullet"/>
      <w:lvlText w:val="·"/>
      <w:lvlJc w:val="left"/>
      <w:pPr>
        <w:ind w:left="867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FBA7DBB"/>
    <w:multiLevelType w:val="multilevel"/>
    <w:tmpl w:val="6F78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55BB"/>
    <w:multiLevelType w:val="multilevel"/>
    <w:tmpl w:val="466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444008"/>
    <w:multiLevelType w:val="hybridMultilevel"/>
    <w:tmpl w:val="A2062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B1CB9"/>
    <w:multiLevelType w:val="multilevel"/>
    <w:tmpl w:val="309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1B5AB4"/>
    <w:multiLevelType w:val="multilevel"/>
    <w:tmpl w:val="0CC2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92F6E"/>
    <w:multiLevelType w:val="hybridMultilevel"/>
    <w:tmpl w:val="97146F98"/>
    <w:lvl w:ilvl="0" w:tplc="06CE6C0E">
      <w:numFmt w:val="bullet"/>
      <w:lvlText w:val="·"/>
      <w:lvlJc w:val="left"/>
      <w:pPr>
        <w:ind w:left="1224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56C6A3D"/>
    <w:multiLevelType w:val="multilevel"/>
    <w:tmpl w:val="F00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20F5B"/>
    <w:multiLevelType w:val="multilevel"/>
    <w:tmpl w:val="6BB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3" w15:restartNumberingAfterBreak="0">
    <w:nsid w:val="5B9067DA"/>
    <w:multiLevelType w:val="hybridMultilevel"/>
    <w:tmpl w:val="D95A0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C1FF4"/>
    <w:multiLevelType w:val="hybridMultilevel"/>
    <w:tmpl w:val="F4D05302"/>
    <w:lvl w:ilvl="0" w:tplc="06CE6C0E">
      <w:numFmt w:val="bullet"/>
      <w:lvlText w:val="·"/>
      <w:lvlJc w:val="left"/>
      <w:pPr>
        <w:ind w:left="1224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A0071F"/>
    <w:multiLevelType w:val="multilevel"/>
    <w:tmpl w:val="9EC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30490"/>
    <w:multiLevelType w:val="multilevel"/>
    <w:tmpl w:val="580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A7B17"/>
    <w:multiLevelType w:val="multilevel"/>
    <w:tmpl w:val="C4C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22A4A"/>
    <w:multiLevelType w:val="multilevel"/>
    <w:tmpl w:val="300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62BB7"/>
    <w:multiLevelType w:val="multilevel"/>
    <w:tmpl w:val="B11E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8" w15:restartNumberingAfterBreak="0">
    <w:nsid w:val="7B1E7CE4"/>
    <w:multiLevelType w:val="multilevel"/>
    <w:tmpl w:val="F6D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4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</w:num>
  <w:num w:numId="11">
    <w:abstractNumId w:val="36"/>
  </w:num>
  <w:num w:numId="12">
    <w:abstractNumId w:val="2"/>
  </w:num>
  <w:num w:numId="13">
    <w:abstractNumId w:val="10"/>
  </w:num>
  <w:num w:numId="14">
    <w:abstractNumId w:val="38"/>
  </w:num>
  <w:num w:numId="15">
    <w:abstractNumId w:val="43"/>
  </w:num>
  <w:num w:numId="16">
    <w:abstractNumId w:val="40"/>
  </w:num>
  <w:num w:numId="17">
    <w:abstractNumId w:val="22"/>
  </w:num>
  <w:num w:numId="18">
    <w:abstractNumId w:val="0"/>
  </w:num>
  <w:num w:numId="19">
    <w:abstractNumId w:val="47"/>
  </w:num>
  <w:num w:numId="20">
    <w:abstractNumId w:val="28"/>
  </w:num>
  <w:num w:numId="21">
    <w:abstractNumId w:val="32"/>
  </w:num>
  <w:num w:numId="22">
    <w:abstractNumId w:val="37"/>
  </w:num>
  <w:num w:numId="23">
    <w:abstractNumId w:val="30"/>
  </w:num>
  <w:num w:numId="24">
    <w:abstractNumId w:val="41"/>
  </w:num>
  <w:num w:numId="25">
    <w:abstractNumId w:val="31"/>
  </w:num>
  <w:num w:numId="26">
    <w:abstractNumId w:val="44"/>
  </w:num>
  <w:num w:numId="27">
    <w:abstractNumId w:val="18"/>
  </w:num>
  <w:num w:numId="28">
    <w:abstractNumId w:val="35"/>
  </w:num>
  <w:num w:numId="29">
    <w:abstractNumId w:val="9"/>
  </w:num>
  <w:num w:numId="30">
    <w:abstractNumId w:val="46"/>
  </w:num>
  <w:num w:numId="31">
    <w:abstractNumId w:val="5"/>
  </w:num>
  <w:num w:numId="32">
    <w:abstractNumId w:val="23"/>
  </w:num>
  <w:num w:numId="33">
    <w:abstractNumId w:val="1"/>
  </w:num>
  <w:num w:numId="34">
    <w:abstractNumId w:val="13"/>
  </w:num>
  <w:num w:numId="35">
    <w:abstractNumId w:val="25"/>
  </w:num>
  <w:num w:numId="36">
    <w:abstractNumId w:val="42"/>
  </w:num>
  <w:num w:numId="37">
    <w:abstractNumId w:val="8"/>
  </w:num>
  <w:num w:numId="38">
    <w:abstractNumId w:val="48"/>
  </w:num>
  <w:num w:numId="39">
    <w:abstractNumId w:val="26"/>
  </w:num>
  <w:num w:numId="40">
    <w:abstractNumId w:val="20"/>
  </w:num>
  <w:num w:numId="41">
    <w:abstractNumId w:val="7"/>
  </w:num>
  <w:num w:numId="42">
    <w:abstractNumId w:val="3"/>
  </w:num>
  <w:num w:numId="43">
    <w:abstractNumId w:val="17"/>
  </w:num>
  <w:num w:numId="44">
    <w:abstractNumId w:val="14"/>
  </w:num>
  <w:num w:numId="45">
    <w:abstractNumId w:val="19"/>
  </w:num>
  <w:num w:numId="46">
    <w:abstractNumId w:val="29"/>
  </w:num>
  <w:num w:numId="47">
    <w:abstractNumId w:val="34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1D5A21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32879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8467A"/>
    <w:rsid w:val="009A2531"/>
    <w:rsid w:val="009B266D"/>
    <w:rsid w:val="00A66DA2"/>
    <w:rsid w:val="00A94437"/>
    <w:rsid w:val="00AA45D5"/>
    <w:rsid w:val="00AB6F2E"/>
    <w:rsid w:val="00AC1E64"/>
    <w:rsid w:val="00AF6091"/>
    <w:rsid w:val="00B07A7B"/>
    <w:rsid w:val="00B80F4C"/>
    <w:rsid w:val="00B94328"/>
    <w:rsid w:val="00BE06B0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msonormal">
    <w:name w:val="x_xmsonormal"/>
    <w:basedOn w:val="Normal"/>
    <w:rsid w:val="00BE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contentpasted0">
    <w:name w:val="x_contentpasted0"/>
    <w:basedOn w:val="DefaultParagraphFont"/>
    <w:rsid w:val="00BE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20e9b2-38da-45c1-b83f-53d2eb97209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F03FD-2785-4B81-893F-D3AE21E1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2023-02-23T11:46:00Z</dcterms:created>
  <dcterms:modified xsi:type="dcterms:W3CDTF">2023-02-23T11:46:00Z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