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83BBDFD" w:rsidR="00BC08C6" w:rsidRPr="00F21541" w:rsidRDefault="00BC08C6" w:rsidP="00F21541">
      <w:pPr>
        <w:pStyle w:val="Header1"/>
      </w:pPr>
      <w:r w:rsidRPr="00F21541">
        <w:t>FOI</w:t>
      </w:r>
      <w:r w:rsidR="00EF3941">
        <w:t xml:space="preserve"> 3030</w:t>
      </w:r>
    </w:p>
    <w:p w14:paraId="03EDF20E" w14:textId="2887301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F3941">
        <w:rPr>
          <w:noProof/>
        </w:rPr>
        <w:t>22/05/2024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Pr="00EF3941" w:rsidRDefault="00BC08C6" w:rsidP="00E652A3">
      <w:pPr>
        <w:pStyle w:val="BodyCopy"/>
        <w:rPr>
          <w:rFonts w:cs="Arial"/>
          <w:szCs w:val="22"/>
        </w:rPr>
      </w:pPr>
      <w:r>
        <w:t>You asked:</w:t>
      </w:r>
    </w:p>
    <w:p w14:paraId="73E3C06F" w14:textId="18A835F5" w:rsidR="00EF3941" w:rsidRPr="00EF3941" w:rsidRDefault="00EF3941" w:rsidP="00EF3941">
      <w:pPr>
        <w:rPr>
          <w:rFonts w:cs="Arial"/>
          <w:sz w:val="22"/>
          <w:szCs w:val="22"/>
        </w:rPr>
      </w:pPr>
    </w:p>
    <w:p w14:paraId="035A4DC7" w14:textId="77777777" w:rsidR="00EF3941" w:rsidRPr="00EF3941" w:rsidRDefault="00EF3941" w:rsidP="00EF3941">
      <w:pPr>
        <w:numPr>
          <w:ilvl w:val="0"/>
          <w:numId w:val="23"/>
        </w:numPr>
        <w:contextualSpacing/>
        <w:jc w:val="both"/>
        <w:rPr>
          <w:rFonts w:eastAsia="Times New Roman" w:cs="Arial"/>
          <w:b/>
          <w:sz w:val="22"/>
          <w:szCs w:val="22"/>
        </w:rPr>
      </w:pPr>
      <w:r w:rsidRPr="00EF3941">
        <w:rPr>
          <w:rFonts w:eastAsia="Times New Roman" w:cs="Arial"/>
          <w:b/>
          <w:sz w:val="22"/>
          <w:szCs w:val="22"/>
        </w:rPr>
        <w:t>Please indicate the total number of Tier 3 weight management patients treated in your Trust over the past 5 years. Where data is not readily available, please provide as much data as possible within “the appropriate limit” defined in Section 12 of the FOI Act:</w:t>
      </w:r>
    </w:p>
    <w:p w14:paraId="3A666AB0" w14:textId="77777777" w:rsidR="00EF3941" w:rsidRPr="00EF3941" w:rsidRDefault="00EF3941" w:rsidP="00EF3941">
      <w:pPr>
        <w:jc w:val="both"/>
        <w:rPr>
          <w:rFonts w:cs="Arial"/>
          <w:sz w:val="22"/>
          <w:szCs w:val="22"/>
        </w:rPr>
      </w:pPr>
    </w:p>
    <w:tbl>
      <w:tblPr>
        <w:tblW w:w="8414" w:type="dxa"/>
        <w:tblInd w:w="5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311"/>
      </w:tblGrid>
      <w:tr w:rsidR="00EF3941" w:rsidRPr="00EF3941" w14:paraId="51B2A71B" w14:textId="77777777" w:rsidTr="00EF3941">
        <w:trPr>
          <w:trHeight w:val="503"/>
        </w:trPr>
        <w:tc>
          <w:tcPr>
            <w:tcW w:w="4103" w:type="dxa"/>
            <w:tcBorders>
              <w:top w:val="single" w:sz="8" w:space="0" w:color="FFFFFF"/>
              <w:left w:val="single" w:sz="8" w:space="0" w:color="FFFFFF"/>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0617BFE7"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position w:val="-1"/>
                <w:sz w:val="22"/>
                <w:szCs w:val="22"/>
                <w:lang w:val="en-US" w:eastAsia="en-GB"/>
              </w:rPr>
              <w:t>Financial year</w:t>
            </w:r>
            <w:r w:rsidRPr="00EF3941">
              <w:rPr>
                <w:rFonts w:cs="Arial"/>
                <w:b/>
                <w:bCs/>
                <w:color w:val="FFFFFF"/>
                <w:sz w:val="22"/>
                <w:szCs w:val="22"/>
                <w:lang w:val="en-US" w:eastAsia="en-GB"/>
              </w:rPr>
              <w:t>​</w:t>
            </w:r>
          </w:p>
        </w:tc>
        <w:tc>
          <w:tcPr>
            <w:tcW w:w="4311" w:type="dxa"/>
            <w:tcBorders>
              <w:top w:val="single" w:sz="8" w:space="0" w:color="FFFFFF"/>
              <w:left w:val="nil"/>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5829ABDA"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sz w:val="22"/>
                <w:szCs w:val="22"/>
                <w:lang w:val="en-US" w:eastAsia="en-GB"/>
              </w:rPr>
              <w:t>Tier 3 patients treated (#)</w:t>
            </w:r>
          </w:p>
        </w:tc>
      </w:tr>
      <w:tr w:rsidR="00EF3941" w:rsidRPr="00EF3941" w14:paraId="25755017" w14:textId="77777777" w:rsidTr="00EF3941">
        <w:trPr>
          <w:trHeight w:val="503"/>
        </w:trPr>
        <w:tc>
          <w:tcPr>
            <w:tcW w:w="4103"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4DC199A3"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2018/2019​</w:t>
            </w:r>
          </w:p>
        </w:tc>
        <w:tc>
          <w:tcPr>
            <w:tcW w:w="4311"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172FF276" w14:textId="52786EBC" w:rsidR="00EF3941" w:rsidRPr="00EF3941" w:rsidRDefault="00EF3941" w:rsidP="00EF3941">
            <w:pPr>
              <w:spacing w:before="100" w:beforeAutospacing="1" w:after="100" w:afterAutospacing="1" w:line="252" w:lineRule="auto"/>
              <w:textAlignment w:val="baseline"/>
              <w:rPr>
                <w:rFonts w:cs="Arial"/>
                <w:color w:val="003740"/>
                <w:sz w:val="22"/>
                <w:szCs w:val="22"/>
                <w:lang w:val="en-US" w:eastAsia="en-GB"/>
              </w:rPr>
            </w:pPr>
            <w:r w:rsidRPr="00EF3941">
              <w:rPr>
                <w:rFonts w:cs="Arial"/>
                <w:color w:val="003740"/>
                <w:sz w:val="22"/>
                <w:szCs w:val="22"/>
                <w:lang w:val="en-US" w:eastAsia="en-GB"/>
              </w:rPr>
              <w:t>​</w:t>
            </w:r>
            <w:r>
              <w:rPr>
                <w:rFonts w:cs="Arial"/>
                <w:color w:val="003740"/>
                <w:sz w:val="22"/>
                <w:szCs w:val="22"/>
                <w:lang w:val="en-US" w:eastAsia="en-GB"/>
              </w:rPr>
              <w:t>567</w:t>
            </w:r>
          </w:p>
        </w:tc>
      </w:tr>
      <w:tr w:rsidR="00EF3941" w:rsidRPr="00EF3941" w14:paraId="668C2375" w14:textId="77777777" w:rsidTr="00EF3941">
        <w:trPr>
          <w:trHeight w:val="503"/>
        </w:trPr>
        <w:tc>
          <w:tcPr>
            <w:tcW w:w="4103"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208E572D"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2019/2020​</w:t>
            </w:r>
          </w:p>
        </w:tc>
        <w:tc>
          <w:tcPr>
            <w:tcW w:w="4311"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FB32481" w14:textId="31416833" w:rsidR="00EF3941" w:rsidRPr="00EF3941" w:rsidRDefault="00EF3941">
            <w:pPr>
              <w:rPr>
                <w:rFonts w:cs="Arial"/>
                <w:color w:val="000000"/>
                <w:sz w:val="22"/>
                <w:szCs w:val="22"/>
                <w:lang w:val="en-US" w:eastAsia="en-GB"/>
              </w:rPr>
            </w:pPr>
            <w:r>
              <w:rPr>
                <w:rFonts w:cs="Arial"/>
                <w:color w:val="000000"/>
                <w:sz w:val="22"/>
                <w:szCs w:val="22"/>
                <w:lang w:val="en-US" w:eastAsia="en-GB"/>
              </w:rPr>
              <w:t>447</w:t>
            </w:r>
          </w:p>
        </w:tc>
      </w:tr>
      <w:tr w:rsidR="00EF3941" w:rsidRPr="00EF3941" w14:paraId="7614848F" w14:textId="77777777" w:rsidTr="00EF3941">
        <w:trPr>
          <w:trHeight w:val="503"/>
        </w:trPr>
        <w:tc>
          <w:tcPr>
            <w:tcW w:w="4103"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29391AFE"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2020/2021​</w:t>
            </w:r>
          </w:p>
        </w:tc>
        <w:tc>
          <w:tcPr>
            <w:tcW w:w="4311"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ECD53CC" w14:textId="7A670549" w:rsidR="00EF3941" w:rsidRPr="00EF3941" w:rsidRDefault="00EF3941">
            <w:pPr>
              <w:rPr>
                <w:rFonts w:cs="Arial"/>
                <w:color w:val="000000"/>
                <w:sz w:val="22"/>
                <w:szCs w:val="22"/>
                <w:lang w:val="en-US" w:eastAsia="en-GB"/>
              </w:rPr>
            </w:pPr>
            <w:r>
              <w:rPr>
                <w:rFonts w:cs="Arial"/>
                <w:color w:val="000000"/>
                <w:sz w:val="22"/>
                <w:szCs w:val="22"/>
                <w:lang w:val="en-US" w:eastAsia="en-GB"/>
              </w:rPr>
              <w:t>527</w:t>
            </w:r>
          </w:p>
        </w:tc>
      </w:tr>
      <w:tr w:rsidR="00EF3941" w:rsidRPr="00EF3941" w14:paraId="40748B28" w14:textId="77777777" w:rsidTr="00EF3941">
        <w:trPr>
          <w:trHeight w:val="503"/>
        </w:trPr>
        <w:tc>
          <w:tcPr>
            <w:tcW w:w="4103"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C2E5EC9"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2021/2022​</w:t>
            </w:r>
          </w:p>
        </w:tc>
        <w:tc>
          <w:tcPr>
            <w:tcW w:w="4311"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69F6E9CF" w14:textId="7E4E1BFF" w:rsidR="00EF3941" w:rsidRPr="00EF3941" w:rsidRDefault="00EF3941">
            <w:pPr>
              <w:rPr>
                <w:rFonts w:cs="Arial"/>
                <w:color w:val="000000"/>
                <w:sz w:val="22"/>
                <w:szCs w:val="22"/>
                <w:lang w:val="en-US" w:eastAsia="en-GB"/>
              </w:rPr>
            </w:pPr>
            <w:r>
              <w:rPr>
                <w:rFonts w:cs="Arial"/>
                <w:color w:val="000000"/>
                <w:sz w:val="22"/>
                <w:szCs w:val="22"/>
                <w:lang w:val="en-US" w:eastAsia="en-GB"/>
              </w:rPr>
              <w:t>597</w:t>
            </w:r>
          </w:p>
        </w:tc>
      </w:tr>
      <w:tr w:rsidR="00EF3941" w:rsidRPr="00EF3941" w14:paraId="252B630F" w14:textId="77777777" w:rsidTr="00EF3941">
        <w:trPr>
          <w:trHeight w:val="503"/>
        </w:trPr>
        <w:tc>
          <w:tcPr>
            <w:tcW w:w="4103"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520B5905"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2022/2023​</w:t>
            </w:r>
          </w:p>
        </w:tc>
        <w:tc>
          <w:tcPr>
            <w:tcW w:w="4311"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1862E657" w14:textId="65CEE083" w:rsidR="00EF3941" w:rsidRPr="00EF3941" w:rsidRDefault="00EF3941">
            <w:pPr>
              <w:rPr>
                <w:rFonts w:cs="Arial"/>
                <w:color w:val="000000"/>
                <w:sz w:val="22"/>
                <w:szCs w:val="22"/>
                <w:lang w:val="en-US" w:eastAsia="en-GB"/>
              </w:rPr>
            </w:pPr>
            <w:r>
              <w:rPr>
                <w:rFonts w:cs="Arial"/>
                <w:color w:val="000000"/>
                <w:sz w:val="22"/>
                <w:szCs w:val="22"/>
                <w:lang w:val="en-US" w:eastAsia="en-GB"/>
              </w:rPr>
              <w:t>715</w:t>
            </w:r>
          </w:p>
        </w:tc>
      </w:tr>
    </w:tbl>
    <w:p w14:paraId="0C840CEC" w14:textId="77777777" w:rsidR="00EF3941" w:rsidRPr="00EF3941" w:rsidRDefault="00EF3941" w:rsidP="00EF3941">
      <w:pPr>
        <w:jc w:val="both"/>
        <w:rPr>
          <w:rFonts w:cs="Arial"/>
          <w:sz w:val="22"/>
          <w:szCs w:val="22"/>
          <w14:ligatures w14:val="standardContextual"/>
        </w:rPr>
      </w:pPr>
    </w:p>
    <w:p w14:paraId="40F05E60" w14:textId="77777777" w:rsidR="00EF3941" w:rsidRPr="00EF3941" w:rsidRDefault="00EF3941" w:rsidP="00EF3941">
      <w:pPr>
        <w:numPr>
          <w:ilvl w:val="0"/>
          <w:numId w:val="23"/>
        </w:numPr>
        <w:contextualSpacing/>
        <w:jc w:val="both"/>
        <w:rPr>
          <w:rFonts w:eastAsia="Times New Roman" w:cs="Arial"/>
          <w:b/>
          <w:sz w:val="22"/>
          <w:szCs w:val="22"/>
        </w:rPr>
      </w:pPr>
      <w:r w:rsidRPr="00EF3941">
        <w:rPr>
          <w:rFonts w:eastAsia="Times New Roman" w:cs="Arial"/>
          <w:b/>
          <w:sz w:val="22"/>
          <w:szCs w:val="22"/>
        </w:rPr>
        <w:t>Please indicate the average waiting time from referral to treatment (RTT) for Tier 3 weight management services over the past 5 years, rounded to one decimal place. Where data is not readily available, please provide as much data as possible within “the appropriate limit” defined in Section 12 of the FOI Act:</w:t>
      </w:r>
    </w:p>
    <w:p w14:paraId="60615BE5" w14:textId="77777777" w:rsidR="00EF3941" w:rsidRPr="00EF3941" w:rsidRDefault="00EF3941" w:rsidP="00EF3941">
      <w:pPr>
        <w:rPr>
          <w:rFonts w:cs="Arial"/>
          <w:sz w:val="22"/>
          <w:szCs w:val="22"/>
        </w:rPr>
      </w:pPr>
    </w:p>
    <w:tbl>
      <w:tblPr>
        <w:tblW w:w="8354"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4349"/>
      </w:tblGrid>
      <w:tr w:rsidR="00EF3941" w:rsidRPr="00EF3941" w14:paraId="11E79EBA" w14:textId="77777777" w:rsidTr="00EF3941">
        <w:trPr>
          <w:trHeight w:val="511"/>
        </w:trPr>
        <w:tc>
          <w:tcPr>
            <w:tcW w:w="4005" w:type="dxa"/>
            <w:tcBorders>
              <w:top w:val="single" w:sz="8" w:space="0" w:color="FFFFFF"/>
              <w:left w:val="single" w:sz="8" w:space="0" w:color="FFFFFF"/>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120F43ED"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position w:val="-1"/>
                <w:sz w:val="22"/>
                <w:szCs w:val="22"/>
                <w:lang w:val="en-US" w:eastAsia="en-GB"/>
              </w:rPr>
              <w:t>Financial year</w:t>
            </w:r>
            <w:r w:rsidRPr="00EF3941">
              <w:rPr>
                <w:rFonts w:cs="Arial"/>
                <w:b/>
                <w:bCs/>
                <w:color w:val="FFFFFF"/>
                <w:sz w:val="22"/>
                <w:szCs w:val="22"/>
                <w:lang w:val="en-US" w:eastAsia="en-GB"/>
              </w:rPr>
              <w:t>​</w:t>
            </w:r>
          </w:p>
        </w:tc>
        <w:tc>
          <w:tcPr>
            <w:tcW w:w="4349" w:type="dxa"/>
            <w:tcBorders>
              <w:top w:val="single" w:sz="8" w:space="0" w:color="FFFFFF"/>
              <w:left w:val="nil"/>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6EAD8581"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position w:val="-1"/>
                <w:sz w:val="22"/>
                <w:szCs w:val="22"/>
                <w:lang w:val="en-US" w:eastAsia="en-GB"/>
              </w:rPr>
              <w:t>Average waiting time for Tier 3 services (weeks)</w:t>
            </w:r>
            <w:r w:rsidRPr="00EF3941">
              <w:rPr>
                <w:rFonts w:cs="Arial"/>
                <w:b/>
                <w:bCs/>
                <w:color w:val="FFFFFF"/>
                <w:sz w:val="22"/>
                <w:szCs w:val="22"/>
                <w:lang w:val="en-US" w:eastAsia="en-GB"/>
              </w:rPr>
              <w:t>​</w:t>
            </w:r>
          </w:p>
        </w:tc>
      </w:tr>
      <w:tr w:rsidR="00EF3941" w:rsidRPr="00EF3941" w14:paraId="008377F5"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7DC0F898"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2018/2019​</w:t>
            </w:r>
          </w:p>
        </w:tc>
        <w:tc>
          <w:tcPr>
            <w:tcW w:w="4349"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6F0DD3CE" w14:textId="77777777" w:rsidR="00EF3941" w:rsidRPr="00EF3941" w:rsidRDefault="00EF3941">
            <w:pPr>
              <w:spacing w:before="100" w:beforeAutospacing="1" w:after="100" w:afterAutospacing="1" w:line="252" w:lineRule="auto"/>
              <w:ind w:left="105"/>
              <w:textAlignment w:val="baseline"/>
              <w:rPr>
                <w:rFonts w:cs="Arial"/>
                <w:color w:val="003740"/>
                <w:sz w:val="22"/>
                <w:szCs w:val="22"/>
                <w:lang w:val="en-US" w:eastAsia="en-GB"/>
              </w:rPr>
            </w:pPr>
            <w:r w:rsidRPr="00EF3941">
              <w:rPr>
                <w:rFonts w:cs="Arial"/>
                <w:color w:val="003740"/>
                <w:sz w:val="22"/>
                <w:szCs w:val="22"/>
                <w:lang w:val="en-US" w:eastAsia="en-GB"/>
              </w:rPr>
              <w:t>​</w:t>
            </w:r>
          </w:p>
        </w:tc>
      </w:tr>
      <w:tr w:rsidR="00EF3941" w:rsidRPr="00EF3941" w14:paraId="0DF03909"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4E9D97B1"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2019/2020​</w:t>
            </w:r>
          </w:p>
        </w:tc>
        <w:tc>
          <w:tcPr>
            <w:tcW w:w="4349"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ED14928" w14:textId="77777777" w:rsidR="00EF3941" w:rsidRPr="00EF3941" w:rsidRDefault="00EF3941">
            <w:pPr>
              <w:rPr>
                <w:rFonts w:cs="Arial"/>
                <w:color w:val="000000"/>
                <w:sz w:val="22"/>
                <w:szCs w:val="22"/>
                <w:lang w:val="en-US" w:eastAsia="en-GB"/>
              </w:rPr>
            </w:pPr>
          </w:p>
        </w:tc>
      </w:tr>
      <w:tr w:rsidR="00EF3941" w:rsidRPr="00EF3941" w14:paraId="0E8A541E"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53C8B5E8"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2020/2021​</w:t>
            </w:r>
          </w:p>
        </w:tc>
        <w:tc>
          <w:tcPr>
            <w:tcW w:w="4349"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55F7627E" w14:textId="77777777" w:rsidR="00EF3941" w:rsidRPr="00EF3941" w:rsidRDefault="00EF3941">
            <w:pPr>
              <w:rPr>
                <w:rFonts w:cs="Arial"/>
                <w:color w:val="000000"/>
                <w:sz w:val="22"/>
                <w:szCs w:val="22"/>
                <w:lang w:val="en-US" w:eastAsia="en-GB"/>
              </w:rPr>
            </w:pPr>
          </w:p>
        </w:tc>
      </w:tr>
      <w:tr w:rsidR="00EF3941" w:rsidRPr="00EF3941" w14:paraId="5C344BAF"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6BC9BC4B"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2021/2022​</w:t>
            </w:r>
          </w:p>
        </w:tc>
        <w:tc>
          <w:tcPr>
            <w:tcW w:w="4349"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35496855" w14:textId="77777777" w:rsidR="00EF3941" w:rsidRPr="00EF3941" w:rsidRDefault="00EF3941">
            <w:pPr>
              <w:rPr>
                <w:rFonts w:cs="Arial"/>
                <w:color w:val="000000"/>
                <w:sz w:val="22"/>
                <w:szCs w:val="22"/>
                <w:lang w:val="en-US" w:eastAsia="en-GB"/>
              </w:rPr>
            </w:pPr>
          </w:p>
        </w:tc>
      </w:tr>
      <w:tr w:rsidR="00EF3941" w:rsidRPr="00EF3941" w14:paraId="792341B0"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5D486B5D"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2022/2023​</w:t>
            </w:r>
          </w:p>
        </w:tc>
        <w:tc>
          <w:tcPr>
            <w:tcW w:w="4349"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3E4BB31D" w14:textId="77777777" w:rsidR="00EF3941" w:rsidRPr="00EF3941" w:rsidRDefault="00EF3941">
            <w:pPr>
              <w:rPr>
                <w:rFonts w:cs="Arial"/>
                <w:color w:val="000000"/>
                <w:sz w:val="22"/>
                <w:szCs w:val="22"/>
                <w:lang w:val="en-US" w:eastAsia="en-GB"/>
              </w:rPr>
            </w:pPr>
          </w:p>
        </w:tc>
      </w:tr>
    </w:tbl>
    <w:p w14:paraId="589BFB31" w14:textId="318B5D4D" w:rsidR="00EF3941" w:rsidRDefault="00EF3941" w:rsidP="00EF3941">
      <w:pPr>
        <w:rPr>
          <w:rFonts w:cs="Arial"/>
          <w:b/>
          <w:sz w:val="22"/>
          <w:szCs w:val="22"/>
          <w14:ligatures w14:val="standardContextual"/>
        </w:rPr>
      </w:pPr>
    </w:p>
    <w:p w14:paraId="4A87222D" w14:textId="506F2F3C" w:rsidR="00EF3941" w:rsidRPr="00EF3941" w:rsidRDefault="00EF3941" w:rsidP="00EF3941">
      <w:pPr>
        <w:ind w:left="360"/>
        <w:rPr>
          <w:rFonts w:cs="Arial"/>
          <w:b/>
          <w:sz w:val="20"/>
          <w:szCs w:val="22"/>
          <w14:ligatures w14:val="standardContextual"/>
        </w:rPr>
      </w:pPr>
      <w:r w:rsidRPr="00EF3941">
        <w:rPr>
          <w:sz w:val="22"/>
        </w:rPr>
        <w:t>Bariatrics is captured within General Surgery so</w:t>
      </w:r>
      <w:r w:rsidRPr="00EF3941">
        <w:rPr>
          <w:sz w:val="22"/>
        </w:rPr>
        <w:t xml:space="preserve"> we are unable to break down into Bariatrics specifically</w:t>
      </w:r>
      <w:r>
        <w:rPr>
          <w:sz w:val="22"/>
        </w:rPr>
        <w:t>.</w:t>
      </w:r>
      <w:bookmarkStart w:id="0" w:name="_GoBack"/>
      <w:bookmarkEnd w:id="0"/>
    </w:p>
    <w:p w14:paraId="7300632F" w14:textId="77777777" w:rsidR="00EF3941" w:rsidRPr="00EF3941" w:rsidRDefault="00EF3941" w:rsidP="00EF3941">
      <w:pPr>
        <w:numPr>
          <w:ilvl w:val="0"/>
          <w:numId w:val="23"/>
        </w:numPr>
        <w:contextualSpacing/>
        <w:jc w:val="both"/>
        <w:rPr>
          <w:rFonts w:eastAsia="Times New Roman" w:cs="Arial"/>
          <w:b/>
          <w:sz w:val="22"/>
          <w:szCs w:val="22"/>
        </w:rPr>
      </w:pPr>
      <w:r w:rsidRPr="00EF3941">
        <w:rPr>
          <w:rFonts w:eastAsia="Times New Roman" w:cs="Arial"/>
          <w:b/>
          <w:sz w:val="22"/>
          <w:szCs w:val="22"/>
        </w:rPr>
        <w:lastRenderedPageBreak/>
        <w:t>Please indicate how many patients are currently, and at the end of each financial year, on your RTT waiting list for Tier 3 weight management services. Where data is not readily available, please provide as much data as possible within “the appropriate limit” defined in Section 12 of the FOI Act:</w:t>
      </w:r>
    </w:p>
    <w:p w14:paraId="70EA00DA" w14:textId="77777777" w:rsidR="00EF3941" w:rsidRPr="00EF3941" w:rsidRDefault="00EF3941" w:rsidP="00EF3941">
      <w:pPr>
        <w:rPr>
          <w:rFonts w:cs="Arial"/>
          <w:b/>
          <w:sz w:val="22"/>
          <w:szCs w:val="22"/>
        </w:rPr>
      </w:pPr>
    </w:p>
    <w:tbl>
      <w:tblPr>
        <w:tblW w:w="8495"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4490"/>
      </w:tblGrid>
      <w:tr w:rsidR="00EF3941" w:rsidRPr="00EF3941" w14:paraId="5264AB01" w14:textId="77777777" w:rsidTr="00EF3941">
        <w:trPr>
          <w:trHeight w:val="511"/>
        </w:trPr>
        <w:tc>
          <w:tcPr>
            <w:tcW w:w="4005" w:type="dxa"/>
            <w:tcBorders>
              <w:top w:val="single" w:sz="8" w:space="0" w:color="FFFFFF"/>
              <w:left w:val="single" w:sz="8" w:space="0" w:color="FFFFFF"/>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5C2F91EC"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position w:val="-1"/>
                <w:sz w:val="22"/>
                <w:szCs w:val="22"/>
                <w:lang w:val="en-US" w:eastAsia="en-GB"/>
              </w:rPr>
              <w:t>Financial year</w:t>
            </w:r>
            <w:r w:rsidRPr="00EF3941">
              <w:rPr>
                <w:rFonts w:cs="Arial"/>
                <w:b/>
                <w:bCs/>
                <w:color w:val="FFFFFF"/>
                <w:sz w:val="22"/>
                <w:szCs w:val="22"/>
                <w:lang w:val="en-US" w:eastAsia="en-GB"/>
              </w:rPr>
              <w:t>​</w:t>
            </w:r>
          </w:p>
        </w:tc>
        <w:tc>
          <w:tcPr>
            <w:tcW w:w="4490" w:type="dxa"/>
            <w:tcBorders>
              <w:top w:val="single" w:sz="8" w:space="0" w:color="FFFFFF"/>
              <w:left w:val="nil"/>
              <w:bottom w:val="single" w:sz="8" w:space="0" w:color="FFFFFF"/>
              <w:right w:val="single" w:sz="8" w:space="0" w:color="FFFFFF"/>
            </w:tcBorders>
            <w:shd w:val="clear" w:color="auto" w:fill="324288"/>
            <w:tcMar>
              <w:top w:w="15" w:type="dxa"/>
              <w:left w:w="15" w:type="dxa"/>
              <w:bottom w:w="15" w:type="dxa"/>
              <w:right w:w="15" w:type="dxa"/>
            </w:tcMar>
            <w:vAlign w:val="center"/>
            <w:hideMark/>
          </w:tcPr>
          <w:p w14:paraId="27FDE5C6" w14:textId="77777777" w:rsidR="00EF3941" w:rsidRPr="00EF3941" w:rsidRDefault="00EF3941">
            <w:pPr>
              <w:spacing w:before="100" w:beforeAutospacing="1" w:after="100" w:afterAutospacing="1" w:line="252" w:lineRule="auto"/>
              <w:textAlignment w:val="baseline"/>
              <w:rPr>
                <w:rFonts w:cs="Arial"/>
                <w:b/>
                <w:bCs/>
                <w:color w:val="FFFFFF"/>
                <w:sz w:val="22"/>
                <w:szCs w:val="22"/>
                <w:lang w:val="en-US" w:eastAsia="en-GB"/>
              </w:rPr>
            </w:pPr>
            <w:r w:rsidRPr="00EF3941">
              <w:rPr>
                <w:rFonts w:cs="Arial"/>
                <w:b/>
                <w:bCs/>
                <w:color w:val="FFFFFF"/>
                <w:position w:val="-1"/>
                <w:sz w:val="22"/>
                <w:szCs w:val="22"/>
                <w:lang w:val="en-US" w:eastAsia="en-GB"/>
              </w:rPr>
              <w:t>Total number of Tier 3 patients (#)</w:t>
            </w:r>
            <w:r w:rsidRPr="00EF3941">
              <w:rPr>
                <w:rFonts w:cs="Arial"/>
                <w:b/>
                <w:bCs/>
                <w:color w:val="FFFFFF"/>
                <w:sz w:val="22"/>
                <w:szCs w:val="22"/>
                <w:lang w:val="en-US" w:eastAsia="en-GB"/>
              </w:rPr>
              <w:t>​</w:t>
            </w:r>
          </w:p>
        </w:tc>
      </w:tr>
      <w:tr w:rsidR="00EF3941" w:rsidRPr="00EF3941" w14:paraId="7B80859C"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7B01298A"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2018/2019​</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76A38DB6" w14:textId="4FB28E35" w:rsidR="00EF3941" w:rsidRPr="00EF3941" w:rsidRDefault="00EF3941" w:rsidP="00EF3941">
            <w:pPr>
              <w:spacing w:before="100" w:beforeAutospacing="1" w:after="100" w:afterAutospacing="1" w:line="252" w:lineRule="auto"/>
              <w:textAlignment w:val="baseline"/>
              <w:rPr>
                <w:rFonts w:cs="Arial"/>
                <w:color w:val="003740"/>
                <w:sz w:val="22"/>
                <w:szCs w:val="22"/>
                <w:lang w:val="en-US" w:eastAsia="en-GB"/>
              </w:rPr>
            </w:pPr>
            <w:r w:rsidRPr="00EF3941">
              <w:rPr>
                <w:rFonts w:cs="Arial"/>
                <w:color w:val="003740"/>
                <w:sz w:val="22"/>
                <w:szCs w:val="22"/>
                <w:lang w:val="en-US" w:eastAsia="en-GB"/>
              </w:rPr>
              <w:t>​</w:t>
            </w:r>
            <w:r>
              <w:rPr>
                <w:rFonts w:cs="Arial"/>
                <w:color w:val="003740"/>
                <w:sz w:val="22"/>
                <w:szCs w:val="22"/>
                <w:lang w:val="en-US" w:eastAsia="en-GB"/>
              </w:rPr>
              <w:t>1017</w:t>
            </w:r>
          </w:p>
        </w:tc>
      </w:tr>
      <w:tr w:rsidR="00EF3941" w:rsidRPr="00EF3941" w14:paraId="6F1162FE"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C92B3AD"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2019/2020​</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7303AD04" w14:textId="2C0C7FD1" w:rsidR="00EF3941" w:rsidRPr="00EF3941" w:rsidRDefault="00EF3941">
            <w:pPr>
              <w:rPr>
                <w:rFonts w:cs="Arial"/>
                <w:color w:val="000000"/>
                <w:sz w:val="22"/>
                <w:szCs w:val="22"/>
                <w:lang w:val="en-US" w:eastAsia="en-GB"/>
              </w:rPr>
            </w:pPr>
            <w:r>
              <w:rPr>
                <w:rFonts w:cs="Arial"/>
                <w:color w:val="000000"/>
                <w:sz w:val="22"/>
                <w:szCs w:val="22"/>
                <w:lang w:val="en-US" w:eastAsia="en-GB"/>
              </w:rPr>
              <w:t>1241</w:t>
            </w:r>
          </w:p>
        </w:tc>
      </w:tr>
      <w:tr w:rsidR="00EF3941" w:rsidRPr="00EF3941" w14:paraId="2ED1F228"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90FA3E3"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2020/2021​</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380EE773" w14:textId="706784B9" w:rsidR="00EF3941" w:rsidRPr="00EF3941" w:rsidRDefault="00EF3941">
            <w:pPr>
              <w:rPr>
                <w:rFonts w:cs="Arial"/>
                <w:color w:val="000000"/>
                <w:sz w:val="22"/>
                <w:szCs w:val="22"/>
                <w:lang w:val="en-US" w:eastAsia="en-GB"/>
              </w:rPr>
            </w:pPr>
            <w:r>
              <w:rPr>
                <w:rFonts w:cs="Arial"/>
                <w:color w:val="000000"/>
                <w:sz w:val="22"/>
                <w:szCs w:val="22"/>
                <w:lang w:val="en-US" w:eastAsia="en-GB"/>
              </w:rPr>
              <w:t>1201</w:t>
            </w:r>
          </w:p>
        </w:tc>
      </w:tr>
      <w:tr w:rsidR="00EF3941" w:rsidRPr="00EF3941" w14:paraId="3E74378D"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4743B808"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2021/2022​</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BF7DA09" w14:textId="775BFB7D" w:rsidR="00EF3941" w:rsidRPr="00EF3941" w:rsidRDefault="00EF3941">
            <w:pPr>
              <w:rPr>
                <w:rFonts w:cs="Arial"/>
                <w:color w:val="000000"/>
                <w:sz w:val="22"/>
                <w:szCs w:val="22"/>
                <w:lang w:val="en-US" w:eastAsia="en-GB"/>
              </w:rPr>
            </w:pPr>
            <w:r>
              <w:rPr>
                <w:rFonts w:cs="Arial"/>
                <w:color w:val="000000"/>
                <w:sz w:val="22"/>
                <w:szCs w:val="22"/>
                <w:lang w:val="en-US" w:eastAsia="en-GB"/>
              </w:rPr>
              <w:t>1935</w:t>
            </w:r>
          </w:p>
        </w:tc>
      </w:tr>
      <w:tr w:rsidR="00EF3941" w:rsidRPr="00EF3941" w14:paraId="4E4699DD"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B84037A"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2022/2023​</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62861E55" w14:textId="4468DBCD" w:rsidR="00EF3941" w:rsidRPr="00EF3941" w:rsidRDefault="00EF3941">
            <w:pPr>
              <w:rPr>
                <w:rFonts w:cs="Arial"/>
                <w:color w:val="000000"/>
                <w:sz w:val="22"/>
                <w:szCs w:val="22"/>
                <w:lang w:val="en-US" w:eastAsia="en-GB"/>
              </w:rPr>
            </w:pPr>
            <w:r>
              <w:rPr>
                <w:rFonts w:cs="Arial"/>
                <w:color w:val="000000"/>
                <w:sz w:val="22"/>
                <w:szCs w:val="22"/>
                <w:lang w:val="en-US" w:eastAsia="en-GB"/>
              </w:rPr>
              <w:t>1792</w:t>
            </w:r>
          </w:p>
        </w:tc>
      </w:tr>
      <w:tr w:rsidR="00EF3941" w:rsidRPr="00EF3941" w14:paraId="5D9B4A12" w14:textId="77777777" w:rsidTr="00EF3941">
        <w:trPr>
          <w:trHeight w:val="511"/>
        </w:trPr>
        <w:tc>
          <w:tcPr>
            <w:tcW w:w="4005" w:type="dxa"/>
            <w:tcBorders>
              <w:top w:val="nil"/>
              <w:left w:val="single" w:sz="8" w:space="0" w:color="FFFFFF"/>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5899E36" w14:textId="77777777" w:rsidR="00EF3941" w:rsidRPr="00EF3941" w:rsidRDefault="00EF3941">
            <w:pPr>
              <w:spacing w:before="100" w:beforeAutospacing="1" w:after="100" w:afterAutospacing="1" w:line="252" w:lineRule="auto"/>
              <w:ind w:left="105"/>
              <w:textAlignment w:val="baseline"/>
              <w:rPr>
                <w:rFonts w:cs="Arial"/>
                <w:color w:val="000000"/>
                <w:sz w:val="22"/>
                <w:szCs w:val="22"/>
                <w:lang w:val="en-US" w:eastAsia="en-GB"/>
              </w:rPr>
            </w:pPr>
            <w:r w:rsidRPr="00EF3941">
              <w:rPr>
                <w:rFonts w:cs="Arial"/>
                <w:color w:val="000000"/>
                <w:sz w:val="22"/>
                <w:szCs w:val="22"/>
                <w:lang w:val="en-US" w:eastAsia="en-GB"/>
              </w:rPr>
              <w:t>Present​</w:t>
            </w:r>
          </w:p>
        </w:tc>
        <w:tc>
          <w:tcPr>
            <w:tcW w:w="4490" w:type="dxa"/>
            <w:tcBorders>
              <w:top w:val="nil"/>
              <w:left w:val="nil"/>
              <w:bottom w:val="single" w:sz="8" w:space="0" w:color="FFFFFF"/>
              <w:right w:val="single" w:sz="8" w:space="0" w:color="FFFFFF"/>
            </w:tcBorders>
            <w:shd w:val="clear" w:color="auto" w:fill="EAEFF6"/>
            <w:tcMar>
              <w:top w:w="15" w:type="dxa"/>
              <w:left w:w="15" w:type="dxa"/>
              <w:bottom w:w="15" w:type="dxa"/>
              <w:right w:w="15" w:type="dxa"/>
            </w:tcMar>
            <w:vAlign w:val="center"/>
            <w:hideMark/>
          </w:tcPr>
          <w:p w14:paraId="0B8738D0" w14:textId="02DE9F21" w:rsidR="00EF3941" w:rsidRPr="00EF3941" w:rsidRDefault="00EF3941">
            <w:pPr>
              <w:rPr>
                <w:rFonts w:cs="Arial"/>
                <w:color w:val="000000"/>
                <w:sz w:val="22"/>
                <w:szCs w:val="22"/>
                <w:lang w:val="en-US" w:eastAsia="en-GB"/>
              </w:rPr>
            </w:pPr>
            <w:r>
              <w:rPr>
                <w:rFonts w:cs="Arial"/>
                <w:color w:val="000000"/>
                <w:sz w:val="22"/>
                <w:szCs w:val="22"/>
                <w:lang w:val="en-US" w:eastAsia="en-GB"/>
              </w:rPr>
              <w:t>2353</w:t>
            </w:r>
          </w:p>
        </w:tc>
      </w:tr>
    </w:tbl>
    <w:p w14:paraId="29756B75" w14:textId="77777777" w:rsidR="00EF3941" w:rsidRPr="00EF3941" w:rsidRDefault="00EF3941" w:rsidP="00EF3941">
      <w:pPr>
        <w:rPr>
          <w:rFonts w:cs="Arial"/>
          <w:sz w:val="22"/>
          <w:szCs w:val="22"/>
          <w14:ligatures w14:val="standardContextual"/>
        </w:rPr>
      </w:pPr>
    </w:p>
    <w:p w14:paraId="034AC366" w14:textId="2B825CEF"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51550"/>
    <w:multiLevelType w:val="hybridMultilevel"/>
    <w:tmpl w:val="260CDE62"/>
    <w:lvl w:ilvl="0" w:tplc="0EF0480C">
      <w:start w:val="1"/>
      <w:numFmt w:val="decimal"/>
      <w:lvlText w:val="%1)"/>
      <w:lvlJc w:val="left"/>
      <w:pPr>
        <w:ind w:left="360" w:hanging="360"/>
      </w:pPr>
      <w:rPr>
        <w:rFonts w:ascii="Arial" w:hAnsi="Arial" w:cs="Arial" w:hint="default"/>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2"/>
  </w:num>
  <w:num w:numId="17">
    <w:abstractNumId w:val="15"/>
  </w:num>
  <w:num w:numId="18">
    <w:abstractNumId w:val="19"/>
  </w:num>
  <w:num w:numId="19">
    <w:abstractNumId w:val="11"/>
  </w:num>
  <w:num w:numId="20">
    <w:abstractNumId w:val="18"/>
  </w:num>
  <w:num w:numId="21">
    <w:abstractNumId w:val="10"/>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EF3941"/>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1893156246">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4DE9-6C93-47B3-9A85-50CDC00F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2024-05-22T09:15:00Z</dcterms:created>
  <dcterms:modified xsi:type="dcterms:W3CDTF">2024-05-22T09:15:00Z</dcterms:modified>
</cp:coreProperties>
</file>