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99EE" w14:textId="76B75D1D" w:rsidR="00BC08C6" w:rsidRDefault="00BC08C6" w:rsidP="000808D3">
      <w:pPr>
        <w:pStyle w:val="Header1"/>
      </w:pPr>
      <w:r w:rsidRPr="00F21541">
        <w:t>FOI</w:t>
      </w:r>
      <w:r w:rsidR="009225F3">
        <w:t xml:space="preserve"> 3343</w:t>
      </w: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034F46EC" w14:textId="77777777" w:rsidR="009225F3" w:rsidRPr="009225F3" w:rsidRDefault="009225F3" w:rsidP="009225F3">
      <w:pPr>
        <w:rPr>
          <w:rFonts w:eastAsia="Calibri" w:cs="Arial"/>
          <w:b/>
          <w:kern w:val="2"/>
          <w:sz w:val="20"/>
          <w:szCs w:val="22"/>
          <w14:ligatures w14:val="standardContextual"/>
        </w:rPr>
      </w:pPr>
      <w:r w:rsidRPr="009225F3">
        <w:rPr>
          <w:rFonts w:eastAsia="Calibri" w:cs="Arial"/>
          <w:b/>
          <w:kern w:val="2"/>
          <w:sz w:val="20"/>
          <w:szCs w:val="22"/>
          <w14:ligatures w14:val="standardContextual"/>
        </w:rPr>
        <w:t xml:space="preserve">Please can I request the following FOI on behalf of </w:t>
      </w:r>
      <w:proofErr w:type="spellStart"/>
      <w:r w:rsidRPr="009225F3">
        <w:rPr>
          <w:rFonts w:eastAsia="Calibri" w:cs="Arial"/>
          <w:b/>
          <w:kern w:val="2"/>
          <w:sz w:val="20"/>
          <w:szCs w:val="22"/>
          <w14:ligatures w14:val="standardContextual"/>
        </w:rPr>
        <w:t>Jym</w:t>
      </w:r>
      <w:proofErr w:type="spellEnd"/>
      <w:r w:rsidRPr="009225F3">
        <w:rPr>
          <w:rFonts w:eastAsia="Calibri" w:cs="Arial"/>
          <w:b/>
          <w:kern w:val="2"/>
          <w:sz w:val="20"/>
          <w:szCs w:val="22"/>
          <w14:ligatures w14:val="standardContextual"/>
        </w:rPr>
        <w:t xml:space="preserve"> Bates, Data Protection </w:t>
      </w:r>
      <w:proofErr w:type="gramStart"/>
      <w:r w:rsidRPr="009225F3">
        <w:rPr>
          <w:rFonts w:eastAsia="Calibri" w:cs="Arial"/>
          <w:b/>
          <w:kern w:val="2"/>
          <w:sz w:val="20"/>
          <w:szCs w:val="22"/>
          <w14:ligatures w14:val="standardContextual"/>
        </w:rPr>
        <w:t>officer.</w:t>
      </w:r>
      <w:proofErr w:type="gramEnd"/>
    </w:p>
    <w:p w14:paraId="1360727A" w14:textId="77777777" w:rsidR="009225F3" w:rsidRPr="009225F3" w:rsidRDefault="009225F3" w:rsidP="009225F3">
      <w:pPr>
        <w:rPr>
          <w:rFonts w:eastAsia="Calibri" w:cs="Arial"/>
          <w:kern w:val="2"/>
          <w:sz w:val="20"/>
          <w:szCs w:val="22"/>
          <w14:ligatures w14:val="standardContextual"/>
        </w:rPr>
      </w:pPr>
    </w:p>
    <w:p w14:paraId="76146246" w14:textId="77777777" w:rsidR="009225F3" w:rsidRPr="000808D3" w:rsidRDefault="009225F3" w:rsidP="009225F3">
      <w:pPr>
        <w:pStyle w:val="Header2"/>
        <w:rPr>
          <w:rFonts w:cs="Arial"/>
          <w:sz w:val="20"/>
        </w:rPr>
      </w:pPr>
      <w:r w:rsidRPr="000808D3">
        <w:rPr>
          <w:rFonts w:cs="Arial"/>
          <w:sz w:val="20"/>
        </w:rPr>
        <w:t>Number of Subject Access Requests received.</w:t>
      </w:r>
    </w:p>
    <w:p w14:paraId="070B11DE" w14:textId="77777777" w:rsidR="009225F3" w:rsidRPr="000808D3" w:rsidRDefault="009225F3" w:rsidP="009225F3">
      <w:pPr>
        <w:pStyle w:val="Header2"/>
        <w:rPr>
          <w:rFonts w:cs="Arial"/>
          <w:sz w:val="20"/>
        </w:rPr>
      </w:pPr>
      <w:r w:rsidRPr="000808D3">
        <w:rPr>
          <w:rFonts w:cs="Arial"/>
          <w:sz w:val="20"/>
        </w:rPr>
        <w:t>Percentage that were sent out on time.</w:t>
      </w:r>
    </w:p>
    <w:p w14:paraId="4EB91DA1" w14:textId="77777777" w:rsidR="009225F3" w:rsidRPr="000808D3" w:rsidRDefault="009225F3" w:rsidP="009225F3">
      <w:pPr>
        <w:pStyle w:val="Header2"/>
        <w:rPr>
          <w:rFonts w:cs="Arial"/>
          <w:sz w:val="20"/>
        </w:rPr>
      </w:pPr>
      <w:r w:rsidRPr="000808D3">
        <w:rPr>
          <w:rFonts w:cs="Arial"/>
          <w:sz w:val="20"/>
        </w:rPr>
        <w:t>Number of which were sent back for internal review</w:t>
      </w:r>
    </w:p>
    <w:p w14:paraId="2EB29B3B" w14:textId="77777777" w:rsidR="009225F3" w:rsidRPr="000808D3" w:rsidRDefault="009225F3" w:rsidP="009225F3">
      <w:pPr>
        <w:pStyle w:val="Header2"/>
        <w:rPr>
          <w:rFonts w:cs="Arial"/>
          <w:sz w:val="20"/>
        </w:rPr>
      </w:pPr>
      <w:r w:rsidRPr="000808D3">
        <w:rPr>
          <w:rFonts w:cs="Arial"/>
          <w:sz w:val="20"/>
        </w:rPr>
        <w:t>Number of which were referred to the ICO.</w:t>
      </w:r>
    </w:p>
    <w:p w14:paraId="14F9F5EF" w14:textId="77777777" w:rsidR="009225F3" w:rsidRPr="000808D3" w:rsidRDefault="009225F3" w:rsidP="009225F3">
      <w:pPr>
        <w:pStyle w:val="Header2"/>
        <w:rPr>
          <w:rFonts w:cs="Arial"/>
          <w:sz w:val="20"/>
        </w:rPr>
      </w:pPr>
      <w:r w:rsidRPr="000808D3">
        <w:rPr>
          <w:rFonts w:cs="Arial"/>
          <w:sz w:val="20"/>
        </w:rPr>
        <w:t>Number of staff that you had in the year to process Subject Access requests. (if this changed throughout the year, please can we request the total number budgeted for and the average number actually in post)</w:t>
      </w:r>
    </w:p>
    <w:p w14:paraId="545CA0F3" w14:textId="77777777" w:rsidR="009225F3" w:rsidRPr="009225F3" w:rsidRDefault="009225F3" w:rsidP="009225F3">
      <w:pPr>
        <w:rPr>
          <w:rFonts w:eastAsia="Calibri" w:cs="Arial"/>
          <w:kern w:val="2"/>
          <w:sz w:val="20"/>
          <w:szCs w:val="22"/>
          <w14:ligatures w14:val="standardContextual"/>
        </w:rPr>
      </w:pPr>
    </w:p>
    <w:p w14:paraId="00975CED" w14:textId="15368A61" w:rsidR="009225F3" w:rsidRPr="000808D3" w:rsidRDefault="009225F3" w:rsidP="009225F3">
      <w:pPr>
        <w:rPr>
          <w:rFonts w:eastAsia="Calibri" w:cs="Arial"/>
          <w:b/>
          <w:kern w:val="2"/>
          <w:sz w:val="20"/>
          <w:szCs w:val="22"/>
          <w14:ligatures w14:val="standardContextual"/>
        </w:rPr>
      </w:pPr>
      <w:r w:rsidRPr="009225F3">
        <w:rPr>
          <w:rFonts w:eastAsia="Calibri" w:cs="Arial"/>
          <w:b/>
          <w:kern w:val="2"/>
          <w:sz w:val="20"/>
          <w:szCs w:val="22"/>
          <w14:ligatures w14:val="standardContextual"/>
        </w:rPr>
        <w:t xml:space="preserve">Please can this be broken down into the following </w:t>
      </w:r>
      <w:proofErr w:type="gramStart"/>
      <w:r w:rsidRPr="009225F3">
        <w:rPr>
          <w:rFonts w:eastAsia="Calibri" w:cs="Arial"/>
          <w:b/>
          <w:kern w:val="2"/>
          <w:sz w:val="20"/>
          <w:szCs w:val="22"/>
          <w14:ligatures w14:val="standardContextual"/>
        </w:rPr>
        <w:t>years.</w:t>
      </w:r>
      <w:proofErr w:type="gramEnd"/>
    </w:p>
    <w:p w14:paraId="68675978" w14:textId="77777777" w:rsidR="009225F3" w:rsidRPr="009225F3" w:rsidRDefault="009225F3" w:rsidP="009225F3">
      <w:pPr>
        <w:rPr>
          <w:rFonts w:eastAsia="Calibri" w:cs="Arial"/>
          <w:b/>
          <w:kern w:val="2"/>
          <w:sz w:val="20"/>
          <w:szCs w:val="22"/>
          <w14:ligatures w14:val="standardContextual"/>
        </w:rPr>
      </w:pPr>
    </w:p>
    <w:p w14:paraId="49D4B0FC" w14:textId="77777777" w:rsidR="009225F3" w:rsidRPr="000808D3" w:rsidRDefault="009225F3" w:rsidP="009225F3">
      <w:pPr>
        <w:pStyle w:val="Header2"/>
        <w:rPr>
          <w:rFonts w:cs="Arial"/>
          <w:sz w:val="20"/>
        </w:rPr>
      </w:pPr>
      <w:r w:rsidRPr="000808D3">
        <w:rPr>
          <w:rFonts w:cs="Arial"/>
          <w:sz w:val="20"/>
        </w:rPr>
        <w:t>1</w:t>
      </w:r>
      <w:r w:rsidRPr="000808D3">
        <w:rPr>
          <w:rFonts w:cs="Arial"/>
          <w:sz w:val="20"/>
          <w:vertAlign w:val="superscript"/>
        </w:rPr>
        <w:t>st</w:t>
      </w:r>
      <w:r w:rsidRPr="000808D3">
        <w:rPr>
          <w:rFonts w:cs="Arial"/>
          <w:sz w:val="20"/>
        </w:rPr>
        <w:t xml:space="preserve"> April 2022 – 31</w:t>
      </w:r>
      <w:r w:rsidRPr="000808D3">
        <w:rPr>
          <w:rFonts w:cs="Arial"/>
          <w:sz w:val="20"/>
          <w:vertAlign w:val="superscript"/>
        </w:rPr>
        <w:t>st</w:t>
      </w:r>
      <w:r w:rsidRPr="000808D3">
        <w:rPr>
          <w:rFonts w:cs="Arial"/>
          <w:sz w:val="20"/>
        </w:rPr>
        <w:t xml:space="preserve"> March 2023</w:t>
      </w:r>
    </w:p>
    <w:p w14:paraId="7F9698EC" w14:textId="77777777" w:rsidR="009225F3" w:rsidRPr="000808D3" w:rsidRDefault="009225F3" w:rsidP="009225F3">
      <w:pPr>
        <w:pStyle w:val="Header2"/>
        <w:rPr>
          <w:rFonts w:cs="Arial"/>
          <w:sz w:val="20"/>
        </w:rPr>
      </w:pPr>
      <w:r w:rsidRPr="000808D3">
        <w:rPr>
          <w:rFonts w:cs="Arial"/>
          <w:sz w:val="20"/>
        </w:rPr>
        <w:t>1</w:t>
      </w:r>
      <w:r w:rsidRPr="000808D3">
        <w:rPr>
          <w:rFonts w:cs="Arial"/>
          <w:sz w:val="20"/>
          <w:vertAlign w:val="superscript"/>
        </w:rPr>
        <w:t>st</w:t>
      </w:r>
      <w:r w:rsidRPr="000808D3">
        <w:rPr>
          <w:rFonts w:cs="Arial"/>
          <w:sz w:val="20"/>
        </w:rPr>
        <w:t xml:space="preserve"> April 2023 – 31</w:t>
      </w:r>
      <w:r w:rsidRPr="000808D3">
        <w:rPr>
          <w:rFonts w:cs="Arial"/>
          <w:sz w:val="20"/>
          <w:vertAlign w:val="superscript"/>
        </w:rPr>
        <w:t>st</w:t>
      </w:r>
      <w:r w:rsidRPr="000808D3">
        <w:rPr>
          <w:rFonts w:cs="Arial"/>
          <w:sz w:val="20"/>
        </w:rPr>
        <w:t xml:space="preserve"> March 2024</w:t>
      </w:r>
    </w:p>
    <w:p w14:paraId="5664E1B1" w14:textId="2C7ECC4E" w:rsidR="009225F3" w:rsidRPr="000808D3" w:rsidRDefault="009225F3" w:rsidP="009225F3">
      <w:pPr>
        <w:pStyle w:val="Header2"/>
        <w:rPr>
          <w:rFonts w:cs="Arial"/>
          <w:sz w:val="20"/>
        </w:rPr>
      </w:pPr>
      <w:r w:rsidRPr="000808D3">
        <w:rPr>
          <w:rFonts w:cs="Arial"/>
          <w:sz w:val="20"/>
        </w:rPr>
        <w:t>1</w:t>
      </w:r>
      <w:r w:rsidRPr="000808D3">
        <w:rPr>
          <w:rFonts w:cs="Arial"/>
          <w:sz w:val="20"/>
          <w:vertAlign w:val="superscript"/>
        </w:rPr>
        <w:t>st</w:t>
      </w:r>
      <w:r w:rsidRPr="000808D3">
        <w:rPr>
          <w:rFonts w:cs="Arial"/>
          <w:sz w:val="20"/>
        </w:rPr>
        <w:t xml:space="preserve"> April 2024 – to date</w:t>
      </w:r>
    </w:p>
    <w:tbl>
      <w:tblPr>
        <w:tblStyle w:val="TableGrid"/>
        <w:tblW w:w="10207" w:type="dxa"/>
        <w:tblInd w:w="-147" w:type="dxa"/>
        <w:tblLook w:val="04A0" w:firstRow="1" w:lastRow="0" w:firstColumn="1" w:lastColumn="0" w:noHBand="0" w:noVBand="1"/>
      </w:tblPr>
      <w:tblGrid>
        <w:gridCol w:w="1702"/>
        <w:gridCol w:w="1842"/>
        <w:gridCol w:w="1418"/>
        <w:gridCol w:w="1417"/>
        <w:gridCol w:w="1560"/>
        <w:gridCol w:w="2268"/>
      </w:tblGrid>
      <w:tr w:rsidR="009225F3" w14:paraId="3C9EC764" w14:textId="77777777" w:rsidTr="009225F3">
        <w:trPr>
          <w:trHeight w:val="1522"/>
        </w:trPr>
        <w:tc>
          <w:tcPr>
            <w:tcW w:w="1702" w:type="dxa"/>
          </w:tcPr>
          <w:p w14:paraId="4D19ADF5" w14:textId="77777777" w:rsidR="009225F3" w:rsidRPr="009225F3" w:rsidRDefault="009225F3" w:rsidP="009225F3">
            <w:pPr>
              <w:pStyle w:val="Header2"/>
              <w:numPr>
                <w:ilvl w:val="0"/>
                <w:numId w:val="0"/>
              </w:numPr>
              <w:rPr>
                <w:rFonts w:cs="Arial"/>
              </w:rPr>
            </w:pPr>
          </w:p>
        </w:tc>
        <w:tc>
          <w:tcPr>
            <w:tcW w:w="1842" w:type="dxa"/>
          </w:tcPr>
          <w:p w14:paraId="44264471" w14:textId="77777777" w:rsidR="009225F3" w:rsidRPr="009225F3" w:rsidRDefault="009225F3" w:rsidP="009225F3">
            <w:pPr>
              <w:pStyle w:val="Header2"/>
              <w:numPr>
                <w:ilvl w:val="0"/>
                <w:numId w:val="0"/>
              </w:numPr>
              <w:rPr>
                <w:rFonts w:cs="Arial"/>
              </w:rPr>
            </w:pPr>
            <w:r w:rsidRPr="009225F3">
              <w:rPr>
                <w:rFonts w:cs="Arial"/>
              </w:rPr>
              <w:t>Number of Subject Access Requests received.</w:t>
            </w:r>
          </w:p>
          <w:p w14:paraId="11CC7BBD" w14:textId="30DA9883" w:rsidR="009225F3" w:rsidRPr="009225F3" w:rsidRDefault="009225F3" w:rsidP="009225F3">
            <w:pPr>
              <w:pStyle w:val="Header2"/>
              <w:numPr>
                <w:ilvl w:val="0"/>
                <w:numId w:val="0"/>
              </w:numPr>
              <w:rPr>
                <w:rFonts w:cs="Arial"/>
              </w:rPr>
            </w:pPr>
          </w:p>
        </w:tc>
        <w:tc>
          <w:tcPr>
            <w:tcW w:w="1418" w:type="dxa"/>
          </w:tcPr>
          <w:p w14:paraId="7F5093E1" w14:textId="77777777" w:rsidR="009225F3" w:rsidRPr="009225F3" w:rsidRDefault="009225F3" w:rsidP="009225F3">
            <w:pPr>
              <w:pStyle w:val="Header2"/>
              <w:numPr>
                <w:ilvl w:val="0"/>
                <w:numId w:val="0"/>
              </w:numPr>
              <w:rPr>
                <w:rFonts w:cs="Arial"/>
              </w:rPr>
            </w:pPr>
            <w:r w:rsidRPr="009225F3">
              <w:rPr>
                <w:rFonts w:cs="Arial"/>
              </w:rPr>
              <w:t>Percentage that were sent out on time.</w:t>
            </w:r>
          </w:p>
          <w:p w14:paraId="6CB3B6C8" w14:textId="77777777" w:rsidR="009225F3" w:rsidRPr="009225F3" w:rsidRDefault="009225F3" w:rsidP="009225F3">
            <w:pPr>
              <w:pStyle w:val="Header2"/>
              <w:numPr>
                <w:ilvl w:val="0"/>
                <w:numId w:val="0"/>
              </w:numPr>
              <w:rPr>
                <w:rFonts w:cs="Arial"/>
              </w:rPr>
            </w:pPr>
          </w:p>
        </w:tc>
        <w:tc>
          <w:tcPr>
            <w:tcW w:w="1417" w:type="dxa"/>
          </w:tcPr>
          <w:p w14:paraId="3296606B" w14:textId="77777777" w:rsidR="009225F3" w:rsidRPr="009225F3" w:rsidRDefault="009225F3" w:rsidP="009225F3">
            <w:pPr>
              <w:pStyle w:val="Header2"/>
              <w:numPr>
                <w:ilvl w:val="0"/>
                <w:numId w:val="0"/>
              </w:numPr>
              <w:rPr>
                <w:rFonts w:cs="Arial"/>
              </w:rPr>
            </w:pPr>
            <w:r w:rsidRPr="009225F3">
              <w:rPr>
                <w:rFonts w:cs="Arial"/>
              </w:rPr>
              <w:t>Number of which were sent back for internal review</w:t>
            </w:r>
          </w:p>
          <w:p w14:paraId="45780E8B" w14:textId="77777777" w:rsidR="009225F3" w:rsidRPr="009225F3" w:rsidRDefault="009225F3" w:rsidP="009225F3">
            <w:pPr>
              <w:pStyle w:val="Header2"/>
              <w:numPr>
                <w:ilvl w:val="0"/>
                <w:numId w:val="0"/>
              </w:numPr>
              <w:rPr>
                <w:rFonts w:cs="Arial"/>
              </w:rPr>
            </w:pPr>
          </w:p>
        </w:tc>
        <w:tc>
          <w:tcPr>
            <w:tcW w:w="1560" w:type="dxa"/>
          </w:tcPr>
          <w:p w14:paraId="09A7C12A" w14:textId="77777777" w:rsidR="009225F3" w:rsidRPr="009225F3" w:rsidRDefault="009225F3" w:rsidP="009225F3">
            <w:pPr>
              <w:rPr>
                <w:rFonts w:eastAsia="Calibri" w:cs="Arial"/>
                <w:b/>
                <w:kern w:val="2"/>
                <w:sz w:val="22"/>
                <w:szCs w:val="22"/>
                <w14:ligatures w14:val="standardContextual"/>
              </w:rPr>
            </w:pPr>
            <w:r w:rsidRPr="009225F3">
              <w:rPr>
                <w:rFonts w:eastAsia="Calibri" w:cs="Arial"/>
                <w:b/>
                <w:kern w:val="2"/>
                <w:sz w:val="22"/>
                <w:szCs w:val="22"/>
                <w14:ligatures w14:val="standardContextual"/>
              </w:rPr>
              <w:t>Number of which were referred to the ICO.</w:t>
            </w:r>
          </w:p>
          <w:p w14:paraId="29D2B5F3" w14:textId="77777777" w:rsidR="009225F3" w:rsidRPr="009225F3" w:rsidRDefault="009225F3" w:rsidP="009225F3">
            <w:pPr>
              <w:pStyle w:val="Header2"/>
              <w:numPr>
                <w:ilvl w:val="0"/>
                <w:numId w:val="0"/>
              </w:numPr>
              <w:rPr>
                <w:rFonts w:cs="Arial"/>
              </w:rPr>
            </w:pPr>
          </w:p>
        </w:tc>
        <w:tc>
          <w:tcPr>
            <w:tcW w:w="2268" w:type="dxa"/>
          </w:tcPr>
          <w:p w14:paraId="139B01BF" w14:textId="506E7B23" w:rsidR="009225F3" w:rsidRPr="009225F3" w:rsidRDefault="009225F3" w:rsidP="009225F3">
            <w:pPr>
              <w:pStyle w:val="Header2"/>
              <w:numPr>
                <w:ilvl w:val="0"/>
                <w:numId w:val="0"/>
              </w:numPr>
              <w:rPr>
                <w:rFonts w:cs="Arial"/>
              </w:rPr>
            </w:pPr>
            <w:r w:rsidRPr="009225F3">
              <w:rPr>
                <w:rFonts w:cs="Arial"/>
              </w:rPr>
              <w:t>Number of staff that you had in the year to process Subject Access requests</w:t>
            </w:r>
            <w:r w:rsidRPr="009225F3">
              <w:rPr>
                <w:rFonts w:cs="Arial"/>
              </w:rPr>
              <w:t>.</w:t>
            </w:r>
          </w:p>
        </w:tc>
      </w:tr>
      <w:tr w:rsidR="009225F3" w14:paraId="777A7553" w14:textId="77777777" w:rsidTr="009225F3">
        <w:tc>
          <w:tcPr>
            <w:tcW w:w="1702" w:type="dxa"/>
          </w:tcPr>
          <w:p w14:paraId="3E879083" w14:textId="7F1D05AB" w:rsidR="009225F3" w:rsidRPr="009225F3" w:rsidRDefault="009225F3" w:rsidP="009225F3">
            <w:pPr>
              <w:pStyle w:val="Header2"/>
              <w:numPr>
                <w:ilvl w:val="0"/>
                <w:numId w:val="0"/>
              </w:numPr>
              <w:rPr>
                <w:rFonts w:cs="Arial"/>
              </w:rPr>
            </w:pPr>
            <w:r w:rsidRPr="009225F3">
              <w:rPr>
                <w:rFonts w:cs="Arial"/>
              </w:rPr>
              <w:t>1</w:t>
            </w:r>
            <w:r w:rsidRPr="009225F3">
              <w:rPr>
                <w:rFonts w:cs="Arial"/>
                <w:vertAlign w:val="superscript"/>
              </w:rPr>
              <w:t>st</w:t>
            </w:r>
            <w:r w:rsidRPr="009225F3">
              <w:rPr>
                <w:rFonts w:cs="Arial"/>
              </w:rPr>
              <w:t xml:space="preserve"> April </w:t>
            </w:r>
            <w:r w:rsidRPr="009225F3">
              <w:rPr>
                <w:rFonts w:cs="Arial"/>
              </w:rPr>
              <w:t>22 – 31</w:t>
            </w:r>
            <w:r w:rsidRPr="009225F3">
              <w:rPr>
                <w:rFonts w:cs="Arial"/>
                <w:vertAlign w:val="superscript"/>
              </w:rPr>
              <w:t>st</w:t>
            </w:r>
            <w:r w:rsidRPr="009225F3">
              <w:rPr>
                <w:rFonts w:cs="Arial"/>
              </w:rPr>
              <w:t xml:space="preserve"> March </w:t>
            </w:r>
            <w:r w:rsidRPr="009225F3">
              <w:rPr>
                <w:rFonts w:cs="Arial"/>
              </w:rPr>
              <w:t>23</w:t>
            </w:r>
          </w:p>
          <w:p w14:paraId="6B787238" w14:textId="77777777" w:rsidR="009225F3" w:rsidRPr="009225F3" w:rsidRDefault="009225F3" w:rsidP="009225F3">
            <w:pPr>
              <w:pStyle w:val="Header2"/>
              <w:numPr>
                <w:ilvl w:val="0"/>
                <w:numId w:val="0"/>
              </w:numPr>
              <w:rPr>
                <w:rFonts w:cs="Arial"/>
              </w:rPr>
            </w:pPr>
          </w:p>
        </w:tc>
        <w:tc>
          <w:tcPr>
            <w:tcW w:w="1842" w:type="dxa"/>
          </w:tcPr>
          <w:p w14:paraId="32541A5A" w14:textId="74023FF9" w:rsidR="000808D3" w:rsidRPr="000808D3" w:rsidRDefault="000808D3" w:rsidP="000808D3">
            <w:pPr>
              <w:pStyle w:val="Header2"/>
              <w:numPr>
                <w:ilvl w:val="0"/>
                <w:numId w:val="0"/>
              </w:numPr>
              <w:jc w:val="center"/>
              <w:rPr>
                <w:rFonts w:cs="Arial"/>
                <w:b w:val="0"/>
              </w:rPr>
            </w:pPr>
            <w:r w:rsidRPr="000808D3">
              <w:rPr>
                <w:rFonts w:cs="Arial"/>
                <w:b w:val="0"/>
              </w:rPr>
              <w:t>3219</w:t>
            </w:r>
          </w:p>
        </w:tc>
        <w:tc>
          <w:tcPr>
            <w:tcW w:w="1418" w:type="dxa"/>
          </w:tcPr>
          <w:p w14:paraId="5F83AC0F" w14:textId="59C5CF1C" w:rsidR="000808D3" w:rsidRPr="000808D3" w:rsidRDefault="000808D3" w:rsidP="000808D3">
            <w:pPr>
              <w:pStyle w:val="Header2"/>
              <w:numPr>
                <w:ilvl w:val="0"/>
                <w:numId w:val="0"/>
              </w:numPr>
              <w:jc w:val="center"/>
              <w:rPr>
                <w:rFonts w:cs="Arial"/>
                <w:b w:val="0"/>
              </w:rPr>
            </w:pPr>
            <w:r w:rsidRPr="000808D3">
              <w:rPr>
                <w:rFonts w:cs="Arial"/>
                <w:b w:val="0"/>
              </w:rPr>
              <w:t>72%</w:t>
            </w:r>
          </w:p>
        </w:tc>
        <w:tc>
          <w:tcPr>
            <w:tcW w:w="1417" w:type="dxa"/>
          </w:tcPr>
          <w:p w14:paraId="596CB295" w14:textId="6201EC9F" w:rsidR="000808D3" w:rsidRPr="000808D3" w:rsidRDefault="000808D3" w:rsidP="000808D3">
            <w:pPr>
              <w:pStyle w:val="Header2"/>
              <w:numPr>
                <w:ilvl w:val="0"/>
                <w:numId w:val="0"/>
              </w:numPr>
              <w:jc w:val="center"/>
              <w:rPr>
                <w:rFonts w:cs="Arial"/>
                <w:b w:val="0"/>
              </w:rPr>
            </w:pPr>
            <w:r w:rsidRPr="000808D3">
              <w:rPr>
                <w:rFonts w:cs="Arial"/>
                <w:b w:val="0"/>
              </w:rPr>
              <w:t>Not recorded</w:t>
            </w:r>
          </w:p>
        </w:tc>
        <w:tc>
          <w:tcPr>
            <w:tcW w:w="1560" w:type="dxa"/>
          </w:tcPr>
          <w:p w14:paraId="3A0BF6FD" w14:textId="5C56DB77" w:rsidR="000808D3" w:rsidRPr="000808D3" w:rsidRDefault="000808D3" w:rsidP="000808D3">
            <w:pPr>
              <w:pStyle w:val="Header2"/>
              <w:numPr>
                <w:ilvl w:val="0"/>
                <w:numId w:val="0"/>
              </w:numPr>
              <w:jc w:val="center"/>
              <w:rPr>
                <w:rFonts w:cs="Arial"/>
                <w:b w:val="0"/>
              </w:rPr>
            </w:pPr>
            <w:r w:rsidRPr="000808D3">
              <w:rPr>
                <w:rFonts w:cs="Arial"/>
                <w:b w:val="0"/>
              </w:rPr>
              <w:t>Not recorded</w:t>
            </w:r>
          </w:p>
        </w:tc>
        <w:tc>
          <w:tcPr>
            <w:tcW w:w="2268" w:type="dxa"/>
          </w:tcPr>
          <w:p w14:paraId="67138EB3" w14:textId="2F35AEF5" w:rsidR="000808D3" w:rsidRPr="000808D3" w:rsidRDefault="000808D3" w:rsidP="000808D3">
            <w:pPr>
              <w:pStyle w:val="Header2"/>
              <w:numPr>
                <w:ilvl w:val="0"/>
                <w:numId w:val="0"/>
              </w:numPr>
              <w:jc w:val="center"/>
              <w:rPr>
                <w:rFonts w:cs="Arial"/>
                <w:b w:val="0"/>
              </w:rPr>
            </w:pPr>
            <w:r w:rsidRPr="000808D3">
              <w:rPr>
                <w:rFonts w:cs="Arial"/>
                <w:b w:val="0"/>
              </w:rPr>
              <w:t>2 WTE – Luton</w:t>
            </w:r>
          </w:p>
          <w:p w14:paraId="780F2139" w14:textId="62055302" w:rsidR="000808D3" w:rsidRPr="000808D3" w:rsidRDefault="000808D3" w:rsidP="000808D3">
            <w:pPr>
              <w:pStyle w:val="Header2"/>
              <w:numPr>
                <w:ilvl w:val="0"/>
                <w:numId w:val="0"/>
              </w:numPr>
              <w:jc w:val="center"/>
              <w:rPr>
                <w:rFonts w:cs="Arial"/>
                <w:b w:val="0"/>
              </w:rPr>
            </w:pPr>
            <w:r w:rsidRPr="000808D3">
              <w:rPr>
                <w:rFonts w:cs="Arial"/>
                <w:b w:val="0"/>
              </w:rPr>
              <w:t xml:space="preserve">2 WTE </w:t>
            </w:r>
            <w:r>
              <w:rPr>
                <w:rFonts w:cs="Arial"/>
                <w:b w:val="0"/>
              </w:rPr>
              <w:t>–</w:t>
            </w:r>
            <w:r w:rsidRPr="000808D3">
              <w:rPr>
                <w:rFonts w:cs="Arial"/>
                <w:b w:val="0"/>
              </w:rPr>
              <w:t xml:space="preserve"> Bedford</w:t>
            </w:r>
            <w:r>
              <w:rPr>
                <w:rFonts w:cs="Arial"/>
                <w:b w:val="0"/>
              </w:rPr>
              <w:t xml:space="preserve"> </w:t>
            </w:r>
          </w:p>
        </w:tc>
      </w:tr>
      <w:tr w:rsidR="009225F3" w14:paraId="403191F8" w14:textId="77777777" w:rsidTr="009225F3">
        <w:tc>
          <w:tcPr>
            <w:tcW w:w="1702" w:type="dxa"/>
          </w:tcPr>
          <w:p w14:paraId="0A8F3137" w14:textId="76E764ED" w:rsidR="009225F3" w:rsidRPr="009225F3" w:rsidRDefault="009225F3" w:rsidP="009225F3">
            <w:pPr>
              <w:pStyle w:val="Header2"/>
              <w:numPr>
                <w:ilvl w:val="0"/>
                <w:numId w:val="0"/>
              </w:numPr>
              <w:rPr>
                <w:rFonts w:cs="Arial"/>
              </w:rPr>
            </w:pPr>
            <w:r w:rsidRPr="009225F3">
              <w:rPr>
                <w:rFonts w:cs="Arial"/>
              </w:rPr>
              <w:t>1</w:t>
            </w:r>
            <w:r w:rsidRPr="009225F3">
              <w:rPr>
                <w:rFonts w:cs="Arial"/>
                <w:vertAlign w:val="superscript"/>
              </w:rPr>
              <w:t>st</w:t>
            </w:r>
            <w:r w:rsidRPr="009225F3">
              <w:rPr>
                <w:rFonts w:cs="Arial"/>
              </w:rPr>
              <w:t xml:space="preserve"> April </w:t>
            </w:r>
            <w:r w:rsidRPr="009225F3">
              <w:rPr>
                <w:rFonts w:cs="Arial"/>
              </w:rPr>
              <w:t>23 – 31</w:t>
            </w:r>
            <w:r w:rsidRPr="009225F3">
              <w:rPr>
                <w:rFonts w:cs="Arial"/>
                <w:vertAlign w:val="superscript"/>
              </w:rPr>
              <w:t>st</w:t>
            </w:r>
            <w:r w:rsidRPr="009225F3">
              <w:rPr>
                <w:rFonts w:cs="Arial"/>
              </w:rPr>
              <w:t xml:space="preserve"> March </w:t>
            </w:r>
            <w:r w:rsidRPr="009225F3">
              <w:rPr>
                <w:rFonts w:cs="Arial"/>
              </w:rPr>
              <w:t>24</w:t>
            </w:r>
          </w:p>
          <w:p w14:paraId="7A63A3A3" w14:textId="77777777" w:rsidR="009225F3" w:rsidRPr="009225F3" w:rsidRDefault="009225F3" w:rsidP="009225F3">
            <w:pPr>
              <w:pStyle w:val="Header2"/>
              <w:numPr>
                <w:ilvl w:val="0"/>
                <w:numId w:val="0"/>
              </w:numPr>
              <w:rPr>
                <w:rFonts w:cs="Arial"/>
              </w:rPr>
            </w:pPr>
          </w:p>
        </w:tc>
        <w:tc>
          <w:tcPr>
            <w:tcW w:w="1842" w:type="dxa"/>
          </w:tcPr>
          <w:p w14:paraId="2FF3E777" w14:textId="0779A9C8" w:rsidR="009225F3" w:rsidRPr="000808D3" w:rsidRDefault="000808D3" w:rsidP="000808D3">
            <w:pPr>
              <w:pStyle w:val="Header2"/>
              <w:numPr>
                <w:ilvl w:val="0"/>
                <w:numId w:val="0"/>
              </w:numPr>
              <w:jc w:val="center"/>
              <w:rPr>
                <w:rFonts w:cs="Arial"/>
                <w:b w:val="0"/>
              </w:rPr>
            </w:pPr>
            <w:r w:rsidRPr="000808D3">
              <w:rPr>
                <w:rFonts w:cs="Arial"/>
                <w:b w:val="0"/>
              </w:rPr>
              <w:t>4665</w:t>
            </w:r>
          </w:p>
        </w:tc>
        <w:tc>
          <w:tcPr>
            <w:tcW w:w="1418" w:type="dxa"/>
          </w:tcPr>
          <w:p w14:paraId="3B0392E1" w14:textId="4910E635" w:rsidR="009225F3" w:rsidRPr="000808D3" w:rsidRDefault="000808D3" w:rsidP="000808D3">
            <w:pPr>
              <w:pStyle w:val="Header2"/>
              <w:numPr>
                <w:ilvl w:val="0"/>
                <w:numId w:val="0"/>
              </w:numPr>
              <w:jc w:val="center"/>
              <w:rPr>
                <w:rFonts w:cs="Arial"/>
                <w:b w:val="0"/>
              </w:rPr>
            </w:pPr>
            <w:r w:rsidRPr="000808D3">
              <w:rPr>
                <w:rFonts w:cs="Arial"/>
                <w:b w:val="0"/>
              </w:rPr>
              <w:t>71%</w:t>
            </w:r>
          </w:p>
        </w:tc>
        <w:tc>
          <w:tcPr>
            <w:tcW w:w="1417" w:type="dxa"/>
          </w:tcPr>
          <w:p w14:paraId="132682A1" w14:textId="4AE44AA6" w:rsidR="009225F3" w:rsidRPr="000808D3" w:rsidRDefault="000808D3" w:rsidP="000808D3">
            <w:pPr>
              <w:pStyle w:val="Header2"/>
              <w:numPr>
                <w:ilvl w:val="0"/>
                <w:numId w:val="0"/>
              </w:numPr>
              <w:jc w:val="center"/>
              <w:rPr>
                <w:rFonts w:cs="Arial"/>
                <w:b w:val="0"/>
              </w:rPr>
            </w:pPr>
            <w:r w:rsidRPr="000808D3">
              <w:rPr>
                <w:rFonts w:cs="Arial"/>
                <w:b w:val="0"/>
              </w:rPr>
              <w:t xml:space="preserve">Not recorded </w:t>
            </w:r>
          </w:p>
        </w:tc>
        <w:tc>
          <w:tcPr>
            <w:tcW w:w="1560" w:type="dxa"/>
          </w:tcPr>
          <w:p w14:paraId="476E1981" w14:textId="728CEFB1" w:rsidR="009225F3" w:rsidRPr="000808D3" w:rsidRDefault="000808D3" w:rsidP="000808D3">
            <w:pPr>
              <w:pStyle w:val="Header2"/>
              <w:numPr>
                <w:ilvl w:val="0"/>
                <w:numId w:val="0"/>
              </w:numPr>
              <w:jc w:val="center"/>
              <w:rPr>
                <w:rFonts w:cs="Arial"/>
                <w:b w:val="0"/>
              </w:rPr>
            </w:pPr>
            <w:r w:rsidRPr="000808D3">
              <w:rPr>
                <w:rFonts w:cs="Arial"/>
                <w:b w:val="0"/>
              </w:rPr>
              <w:t xml:space="preserve">Not recorded </w:t>
            </w:r>
          </w:p>
        </w:tc>
        <w:tc>
          <w:tcPr>
            <w:tcW w:w="2268" w:type="dxa"/>
          </w:tcPr>
          <w:p w14:paraId="6A3F8BF0" w14:textId="73FCFAAC" w:rsidR="000808D3" w:rsidRPr="000808D3" w:rsidRDefault="000808D3" w:rsidP="000808D3">
            <w:pPr>
              <w:pStyle w:val="Header2"/>
              <w:numPr>
                <w:ilvl w:val="0"/>
                <w:numId w:val="0"/>
              </w:numPr>
              <w:rPr>
                <w:rFonts w:cs="Arial"/>
                <w:b w:val="0"/>
              </w:rPr>
            </w:pPr>
            <w:r w:rsidRPr="000808D3">
              <w:rPr>
                <w:rFonts w:cs="Arial"/>
                <w:b w:val="0"/>
              </w:rPr>
              <w:t xml:space="preserve">   2 WTE – Luton</w:t>
            </w:r>
          </w:p>
          <w:p w14:paraId="65D53A7C" w14:textId="66CB9594" w:rsidR="009225F3" w:rsidRPr="000808D3" w:rsidRDefault="000808D3" w:rsidP="000808D3">
            <w:pPr>
              <w:pStyle w:val="Header2"/>
              <w:numPr>
                <w:ilvl w:val="0"/>
                <w:numId w:val="0"/>
              </w:numPr>
              <w:jc w:val="center"/>
              <w:rPr>
                <w:rFonts w:cs="Arial"/>
                <w:b w:val="0"/>
              </w:rPr>
            </w:pPr>
            <w:r w:rsidRPr="000808D3">
              <w:rPr>
                <w:rFonts w:cs="Arial"/>
                <w:b w:val="0"/>
              </w:rPr>
              <w:t xml:space="preserve">2 WTE – Bedford </w:t>
            </w:r>
          </w:p>
        </w:tc>
      </w:tr>
      <w:tr w:rsidR="000808D3" w14:paraId="21CB31A2" w14:textId="77777777" w:rsidTr="000808D3">
        <w:trPr>
          <w:trHeight w:val="899"/>
        </w:trPr>
        <w:tc>
          <w:tcPr>
            <w:tcW w:w="1702" w:type="dxa"/>
          </w:tcPr>
          <w:p w14:paraId="1BB33BDB" w14:textId="5F0B16F7" w:rsidR="000808D3" w:rsidRPr="009225F3" w:rsidRDefault="000808D3" w:rsidP="000808D3">
            <w:pPr>
              <w:pStyle w:val="Header2"/>
              <w:numPr>
                <w:ilvl w:val="0"/>
                <w:numId w:val="0"/>
              </w:numPr>
              <w:rPr>
                <w:rFonts w:cs="Arial"/>
              </w:rPr>
            </w:pPr>
            <w:r w:rsidRPr="009225F3">
              <w:rPr>
                <w:rFonts w:cs="Arial"/>
              </w:rPr>
              <w:t>1</w:t>
            </w:r>
            <w:r w:rsidRPr="009225F3">
              <w:rPr>
                <w:rFonts w:cs="Arial"/>
                <w:vertAlign w:val="superscript"/>
              </w:rPr>
              <w:t>st</w:t>
            </w:r>
            <w:r>
              <w:rPr>
                <w:rFonts w:cs="Arial"/>
              </w:rPr>
              <w:t xml:space="preserve"> April 24 – to 30</w:t>
            </w:r>
            <w:r w:rsidRPr="000808D3">
              <w:rPr>
                <w:rFonts w:cs="Arial"/>
                <w:vertAlign w:val="superscript"/>
              </w:rPr>
              <w:t>th</w:t>
            </w:r>
            <w:r>
              <w:rPr>
                <w:rFonts w:cs="Arial"/>
              </w:rPr>
              <w:t xml:space="preserve"> </w:t>
            </w:r>
            <w:bookmarkStart w:id="0" w:name="_GoBack"/>
            <w:bookmarkEnd w:id="0"/>
            <w:r>
              <w:rPr>
                <w:rFonts w:cs="Arial"/>
              </w:rPr>
              <w:t xml:space="preserve"> September 24</w:t>
            </w:r>
          </w:p>
          <w:p w14:paraId="4AA08CC1" w14:textId="77777777" w:rsidR="000808D3" w:rsidRDefault="000808D3" w:rsidP="000808D3">
            <w:pPr>
              <w:pStyle w:val="Header2"/>
              <w:numPr>
                <w:ilvl w:val="0"/>
                <w:numId w:val="0"/>
              </w:numPr>
              <w:rPr>
                <w:rFonts w:cstheme="minorHAnsi"/>
              </w:rPr>
            </w:pPr>
          </w:p>
        </w:tc>
        <w:tc>
          <w:tcPr>
            <w:tcW w:w="1842" w:type="dxa"/>
          </w:tcPr>
          <w:p w14:paraId="48B9B8A6" w14:textId="1CA1C280" w:rsidR="000808D3" w:rsidRPr="000808D3" w:rsidRDefault="000808D3" w:rsidP="000808D3">
            <w:pPr>
              <w:pStyle w:val="Header2"/>
              <w:numPr>
                <w:ilvl w:val="0"/>
                <w:numId w:val="0"/>
              </w:numPr>
              <w:jc w:val="center"/>
              <w:rPr>
                <w:rFonts w:cstheme="minorHAnsi"/>
                <w:b w:val="0"/>
              </w:rPr>
            </w:pPr>
            <w:r w:rsidRPr="000808D3">
              <w:rPr>
                <w:rFonts w:cstheme="minorHAnsi"/>
                <w:b w:val="0"/>
              </w:rPr>
              <w:t>2161</w:t>
            </w:r>
          </w:p>
        </w:tc>
        <w:tc>
          <w:tcPr>
            <w:tcW w:w="1418" w:type="dxa"/>
          </w:tcPr>
          <w:p w14:paraId="17EDA52E" w14:textId="3A43357E" w:rsidR="000808D3" w:rsidRPr="000808D3" w:rsidRDefault="000808D3" w:rsidP="000808D3">
            <w:pPr>
              <w:pStyle w:val="Header2"/>
              <w:numPr>
                <w:ilvl w:val="0"/>
                <w:numId w:val="0"/>
              </w:numPr>
              <w:jc w:val="center"/>
              <w:rPr>
                <w:rFonts w:cstheme="minorHAnsi"/>
                <w:b w:val="0"/>
              </w:rPr>
            </w:pPr>
            <w:r w:rsidRPr="000808D3">
              <w:rPr>
                <w:rFonts w:cstheme="minorHAnsi"/>
                <w:b w:val="0"/>
              </w:rPr>
              <w:t>81%</w:t>
            </w:r>
          </w:p>
        </w:tc>
        <w:tc>
          <w:tcPr>
            <w:tcW w:w="1417" w:type="dxa"/>
          </w:tcPr>
          <w:p w14:paraId="12E68644" w14:textId="6660B23A" w:rsidR="000808D3" w:rsidRDefault="000808D3" w:rsidP="000808D3">
            <w:pPr>
              <w:pStyle w:val="Header2"/>
              <w:numPr>
                <w:ilvl w:val="0"/>
                <w:numId w:val="0"/>
              </w:numPr>
              <w:jc w:val="center"/>
              <w:rPr>
                <w:rFonts w:cstheme="minorHAnsi"/>
              </w:rPr>
            </w:pPr>
            <w:r w:rsidRPr="000808D3">
              <w:rPr>
                <w:rFonts w:cs="Arial"/>
                <w:b w:val="0"/>
              </w:rPr>
              <w:t xml:space="preserve">Not recorded </w:t>
            </w:r>
          </w:p>
        </w:tc>
        <w:tc>
          <w:tcPr>
            <w:tcW w:w="1560" w:type="dxa"/>
          </w:tcPr>
          <w:p w14:paraId="30B9AD28" w14:textId="26A256EE" w:rsidR="000808D3" w:rsidRDefault="000808D3" w:rsidP="000808D3">
            <w:pPr>
              <w:pStyle w:val="Header2"/>
              <w:numPr>
                <w:ilvl w:val="0"/>
                <w:numId w:val="0"/>
              </w:numPr>
              <w:jc w:val="center"/>
              <w:rPr>
                <w:rFonts w:cstheme="minorHAnsi"/>
              </w:rPr>
            </w:pPr>
            <w:r w:rsidRPr="000808D3">
              <w:rPr>
                <w:rFonts w:cs="Arial"/>
                <w:b w:val="0"/>
              </w:rPr>
              <w:t xml:space="preserve">Not recorded </w:t>
            </w:r>
          </w:p>
        </w:tc>
        <w:tc>
          <w:tcPr>
            <w:tcW w:w="2268" w:type="dxa"/>
          </w:tcPr>
          <w:p w14:paraId="3CEDA59A" w14:textId="77777777" w:rsidR="000808D3" w:rsidRPr="000808D3" w:rsidRDefault="000808D3" w:rsidP="000808D3">
            <w:pPr>
              <w:pStyle w:val="Header2"/>
              <w:numPr>
                <w:ilvl w:val="0"/>
                <w:numId w:val="0"/>
              </w:numPr>
              <w:rPr>
                <w:rFonts w:cs="Arial"/>
                <w:b w:val="0"/>
              </w:rPr>
            </w:pPr>
            <w:r w:rsidRPr="000808D3">
              <w:rPr>
                <w:rFonts w:cs="Arial"/>
                <w:b w:val="0"/>
              </w:rPr>
              <w:t xml:space="preserve">   2 WTE – Luton</w:t>
            </w:r>
          </w:p>
          <w:p w14:paraId="5E3491D3" w14:textId="03F6E72E" w:rsidR="000808D3" w:rsidRDefault="000808D3" w:rsidP="000808D3">
            <w:pPr>
              <w:pStyle w:val="Header2"/>
              <w:numPr>
                <w:ilvl w:val="0"/>
                <w:numId w:val="0"/>
              </w:numPr>
              <w:jc w:val="center"/>
              <w:rPr>
                <w:rFonts w:cstheme="minorHAnsi"/>
              </w:rPr>
            </w:pPr>
            <w:r w:rsidRPr="000808D3">
              <w:rPr>
                <w:rFonts w:cs="Arial"/>
                <w:b w:val="0"/>
              </w:rPr>
              <w:t xml:space="preserve">2 WTE – Bedford </w:t>
            </w:r>
          </w:p>
        </w:tc>
      </w:tr>
    </w:tbl>
    <w:p w14:paraId="00C64AAD" w14:textId="77777777" w:rsidR="009225F3" w:rsidRDefault="009225F3" w:rsidP="009225F3">
      <w:pPr>
        <w:pStyle w:val="Header2"/>
        <w:numPr>
          <w:ilvl w:val="0"/>
          <w:numId w:val="0"/>
        </w:numPr>
        <w:ind w:left="720"/>
        <w:rPr>
          <w:rFonts w:cstheme="minorHAnsi"/>
        </w:rPr>
      </w:pPr>
    </w:p>
    <w:p w14:paraId="152F0BD6" w14:textId="77777777" w:rsidR="006C1FA2" w:rsidRPr="00F21541" w:rsidRDefault="006C1FA2" w:rsidP="009719C0">
      <w:pPr>
        <w:pStyle w:val="Header2"/>
        <w:numPr>
          <w:ilvl w:val="0"/>
          <w:numId w:val="0"/>
        </w:numPr>
        <w:rPr>
          <w:rFonts w:cstheme="minorHAnsi"/>
        </w:rPr>
      </w:pP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972B5"/>
    <w:multiLevelType w:val="hybridMultilevel"/>
    <w:tmpl w:val="0C8CAB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A6BE0"/>
    <w:multiLevelType w:val="hybridMultilevel"/>
    <w:tmpl w:val="20025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3"/>
  </w:num>
  <w:num w:numId="13">
    <w:abstractNumId w:val="21"/>
  </w:num>
  <w:num w:numId="14">
    <w:abstractNumId w:val="17"/>
  </w:num>
  <w:num w:numId="15">
    <w:abstractNumId w:val="20"/>
  </w:num>
  <w:num w:numId="16">
    <w:abstractNumId w:val="13"/>
  </w:num>
  <w:num w:numId="17">
    <w:abstractNumId w:val="15"/>
  </w:num>
  <w:num w:numId="18">
    <w:abstractNumId w:val="19"/>
  </w:num>
  <w:num w:numId="19">
    <w:abstractNumId w:val="12"/>
  </w:num>
  <w:num w:numId="20">
    <w:abstractNumId w:val="18"/>
  </w:num>
  <w:num w:numId="21">
    <w:abstractNumId w:val="11"/>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808D3"/>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55777"/>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225F3"/>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1491710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779451377">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B9A5-FD4F-4A1A-A0B2-D22B9586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2024-10-07T10:06:00Z</dcterms:created>
  <dcterms:modified xsi:type="dcterms:W3CDTF">2024-10-07T10:06:00Z</dcterms:modified>
</cp:coreProperties>
</file>