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562C235" w:rsidR="00BC08C6" w:rsidRPr="00F21541" w:rsidRDefault="00223E8B" w:rsidP="00F21541">
      <w:pPr>
        <w:pStyle w:val="Header1"/>
      </w:pPr>
      <w:r>
        <w:t>FOI</w:t>
      </w:r>
      <w:r w:rsidR="000A43B7">
        <w:t xml:space="preserve"> </w:t>
      </w:r>
      <w:r w:rsidR="00597B8D">
        <w:t>3472</w:t>
      </w:r>
    </w:p>
    <w:p w14:paraId="03EDF20E" w14:textId="2CF41D84"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597B8D">
        <w:rPr>
          <w:noProof/>
        </w:rPr>
        <w:t>04/12/2024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358843D5" w14:textId="1C68EDE4" w:rsidR="00F93443" w:rsidRDefault="00597B8D" w:rsidP="00597B8D">
      <w:pPr>
        <w:pStyle w:val="Header2"/>
      </w:pPr>
      <w:r w:rsidRPr="00597B8D">
        <w:t>We are interested in how the atypical parkinsonian syndromes are coded in all acute NHS Trusts in England, as well as numbers of admissions for patients with these conditions</w:t>
      </w:r>
    </w:p>
    <w:tbl>
      <w:tblPr>
        <w:tblStyle w:val="TableGrid"/>
        <w:tblW w:w="0" w:type="auto"/>
        <w:tblLayout w:type="fixed"/>
        <w:tblLook w:val="06A0" w:firstRow="1" w:lastRow="0" w:firstColumn="1" w:lastColumn="0" w:noHBand="1" w:noVBand="1"/>
      </w:tblPr>
      <w:tblGrid>
        <w:gridCol w:w="1872"/>
        <w:gridCol w:w="1872"/>
        <w:gridCol w:w="2460"/>
        <w:gridCol w:w="3297"/>
      </w:tblGrid>
      <w:tr w:rsidR="00597B8D" w14:paraId="1B5D10FE" w14:textId="77777777" w:rsidTr="00DD1BD5">
        <w:trPr>
          <w:trHeight w:val="300"/>
        </w:trPr>
        <w:tc>
          <w:tcPr>
            <w:tcW w:w="1872" w:type="dxa"/>
          </w:tcPr>
          <w:p w14:paraId="4E3F9F0F" w14:textId="77777777" w:rsidR="00597B8D" w:rsidRPr="00597B8D" w:rsidRDefault="00597B8D" w:rsidP="00597B8D">
            <w:pPr>
              <w:pStyle w:val="BodyCopy"/>
            </w:pPr>
            <w:r w:rsidRPr="00597B8D">
              <w:t>Disease</w:t>
            </w:r>
          </w:p>
        </w:tc>
        <w:tc>
          <w:tcPr>
            <w:tcW w:w="1872" w:type="dxa"/>
          </w:tcPr>
          <w:p w14:paraId="79C5D41E" w14:textId="77777777" w:rsidR="00597B8D" w:rsidRPr="00597B8D" w:rsidRDefault="00597B8D" w:rsidP="00597B8D">
            <w:pPr>
              <w:pStyle w:val="BodyCopy"/>
            </w:pPr>
            <w:r w:rsidRPr="00597B8D">
              <w:t>How is this condition coded</w:t>
            </w:r>
          </w:p>
        </w:tc>
        <w:tc>
          <w:tcPr>
            <w:tcW w:w="2460" w:type="dxa"/>
          </w:tcPr>
          <w:p w14:paraId="356782A7" w14:textId="77777777" w:rsidR="00597B8D" w:rsidRPr="00597B8D" w:rsidRDefault="00597B8D" w:rsidP="00597B8D">
            <w:pPr>
              <w:pStyle w:val="BodyCopy"/>
            </w:pPr>
            <w:r w:rsidRPr="00597B8D">
              <w:t>Number of admissions:</w:t>
            </w:r>
          </w:p>
          <w:p w14:paraId="5F0C0EF7" w14:textId="77777777" w:rsidR="00597B8D" w:rsidRPr="00597B8D" w:rsidRDefault="00597B8D" w:rsidP="00597B8D">
            <w:pPr>
              <w:pStyle w:val="BodyCopy"/>
            </w:pPr>
            <w:r w:rsidRPr="00597B8D">
              <w:t xml:space="preserve">This is the same as patients admitted </w:t>
            </w:r>
          </w:p>
        </w:tc>
        <w:tc>
          <w:tcPr>
            <w:tcW w:w="3297" w:type="dxa"/>
          </w:tcPr>
          <w:p w14:paraId="6CA712D0" w14:textId="77777777" w:rsidR="00597B8D" w:rsidRPr="00597B8D" w:rsidRDefault="00597B8D" w:rsidP="00597B8D">
            <w:pPr>
              <w:pStyle w:val="BodyCopy"/>
            </w:pPr>
            <w:r w:rsidRPr="00597B8D">
              <w:t>Number of patients admitted:</w:t>
            </w:r>
          </w:p>
          <w:p w14:paraId="6089A3C8" w14:textId="77777777" w:rsidR="00597B8D" w:rsidRPr="00597B8D" w:rsidRDefault="00597B8D" w:rsidP="00597B8D">
            <w:pPr>
              <w:pStyle w:val="BodyCopy"/>
            </w:pPr>
            <w:r w:rsidRPr="00597B8D">
              <w:t xml:space="preserve">Financial Year  </w:t>
            </w:r>
          </w:p>
        </w:tc>
      </w:tr>
      <w:tr w:rsidR="00597B8D" w14:paraId="7FD2AD18" w14:textId="77777777" w:rsidTr="00DD1BD5">
        <w:trPr>
          <w:trHeight w:val="300"/>
        </w:trPr>
        <w:tc>
          <w:tcPr>
            <w:tcW w:w="1872" w:type="dxa"/>
          </w:tcPr>
          <w:p w14:paraId="5C6191E0" w14:textId="77777777" w:rsidR="00597B8D" w:rsidRPr="00597B8D" w:rsidRDefault="00597B8D" w:rsidP="00597B8D">
            <w:pPr>
              <w:pStyle w:val="BodyCopy"/>
            </w:pPr>
            <w:r w:rsidRPr="00597B8D">
              <w:t xml:space="preserve">Progressive </w:t>
            </w:r>
            <w:proofErr w:type="spellStart"/>
            <w:r w:rsidRPr="00597B8D">
              <w:t>Supranuclear</w:t>
            </w:r>
            <w:proofErr w:type="spellEnd"/>
            <w:r w:rsidRPr="00597B8D">
              <w:t xml:space="preserve"> Palsy</w:t>
            </w:r>
          </w:p>
        </w:tc>
        <w:tc>
          <w:tcPr>
            <w:tcW w:w="1872" w:type="dxa"/>
          </w:tcPr>
          <w:p w14:paraId="262621A8" w14:textId="77777777" w:rsidR="00597B8D" w:rsidRPr="00597B8D" w:rsidRDefault="00597B8D" w:rsidP="00597B8D">
            <w:pPr>
              <w:pStyle w:val="BodyCopy"/>
            </w:pPr>
            <w:r w:rsidRPr="00597B8D">
              <w:t>G23.1</w:t>
            </w:r>
          </w:p>
        </w:tc>
        <w:tc>
          <w:tcPr>
            <w:tcW w:w="2460" w:type="dxa"/>
          </w:tcPr>
          <w:p w14:paraId="1FE5F75C" w14:textId="77777777" w:rsidR="00597B8D" w:rsidRPr="00597B8D" w:rsidRDefault="00597B8D" w:rsidP="00597B8D">
            <w:pPr>
              <w:pStyle w:val="BodyCopy"/>
            </w:pPr>
            <w:r w:rsidRPr="00597B8D">
              <w:t xml:space="preserve">2019: </w:t>
            </w:r>
          </w:p>
          <w:p w14:paraId="544F4948" w14:textId="77777777" w:rsidR="00597B8D" w:rsidRPr="00597B8D" w:rsidRDefault="00597B8D" w:rsidP="00597B8D">
            <w:pPr>
              <w:pStyle w:val="BodyCopy"/>
            </w:pPr>
            <w:r w:rsidRPr="00597B8D">
              <w:t>2020:</w:t>
            </w:r>
          </w:p>
          <w:p w14:paraId="00BB263A" w14:textId="77777777" w:rsidR="00597B8D" w:rsidRPr="00597B8D" w:rsidRDefault="00597B8D" w:rsidP="00597B8D">
            <w:pPr>
              <w:pStyle w:val="BodyCopy"/>
            </w:pPr>
            <w:r w:rsidRPr="00597B8D">
              <w:t>2021:</w:t>
            </w:r>
          </w:p>
          <w:p w14:paraId="26B63518" w14:textId="77777777" w:rsidR="00597B8D" w:rsidRPr="00597B8D" w:rsidRDefault="00597B8D" w:rsidP="00597B8D">
            <w:pPr>
              <w:pStyle w:val="BodyCopy"/>
            </w:pPr>
            <w:r w:rsidRPr="00597B8D">
              <w:t>2022:</w:t>
            </w:r>
          </w:p>
          <w:p w14:paraId="371FB223" w14:textId="77777777" w:rsidR="00597B8D" w:rsidRPr="00597B8D" w:rsidRDefault="00597B8D" w:rsidP="00597B8D">
            <w:pPr>
              <w:pStyle w:val="BodyCopy"/>
            </w:pPr>
            <w:r w:rsidRPr="00597B8D">
              <w:t>2023:</w:t>
            </w:r>
          </w:p>
          <w:p w14:paraId="5601B494" w14:textId="77777777" w:rsidR="00597B8D" w:rsidRPr="00597B8D" w:rsidRDefault="00597B8D" w:rsidP="00597B8D">
            <w:pPr>
              <w:pStyle w:val="BodyCopy"/>
            </w:pPr>
            <w:r w:rsidRPr="00597B8D">
              <w:t>2024:</w:t>
            </w:r>
          </w:p>
        </w:tc>
        <w:tc>
          <w:tcPr>
            <w:tcW w:w="3297" w:type="dxa"/>
          </w:tcPr>
          <w:p w14:paraId="1A797B6B" w14:textId="77777777" w:rsidR="00597B8D" w:rsidRPr="00597B8D" w:rsidRDefault="00597B8D" w:rsidP="00597B8D">
            <w:pPr>
              <w:pStyle w:val="BodyCopy"/>
            </w:pPr>
            <w:r w:rsidRPr="00597B8D">
              <w:t>2019: 23</w:t>
            </w:r>
          </w:p>
          <w:p w14:paraId="41806FB1" w14:textId="77777777" w:rsidR="00597B8D" w:rsidRPr="00597B8D" w:rsidRDefault="00597B8D" w:rsidP="00597B8D">
            <w:pPr>
              <w:pStyle w:val="BodyCopy"/>
            </w:pPr>
            <w:r w:rsidRPr="00597B8D">
              <w:t>2020: 13</w:t>
            </w:r>
          </w:p>
          <w:p w14:paraId="7749BF80" w14:textId="77777777" w:rsidR="00597B8D" w:rsidRPr="00597B8D" w:rsidRDefault="00597B8D" w:rsidP="00597B8D">
            <w:pPr>
              <w:pStyle w:val="BodyCopy"/>
            </w:pPr>
            <w:r w:rsidRPr="00597B8D">
              <w:t>2021: 18</w:t>
            </w:r>
          </w:p>
          <w:p w14:paraId="63448869" w14:textId="77777777" w:rsidR="00597B8D" w:rsidRPr="00597B8D" w:rsidRDefault="00597B8D" w:rsidP="00597B8D">
            <w:pPr>
              <w:pStyle w:val="BodyCopy"/>
            </w:pPr>
            <w:r w:rsidRPr="00597B8D">
              <w:t>2022: 16</w:t>
            </w:r>
          </w:p>
          <w:p w14:paraId="5732082C" w14:textId="77777777" w:rsidR="00597B8D" w:rsidRPr="00597B8D" w:rsidRDefault="00597B8D" w:rsidP="00597B8D">
            <w:pPr>
              <w:pStyle w:val="BodyCopy"/>
            </w:pPr>
            <w:r w:rsidRPr="00597B8D">
              <w:t>2023: 14</w:t>
            </w:r>
          </w:p>
          <w:p w14:paraId="35706CA2" w14:textId="77777777" w:rsidR="00597B8D" w:rsidRPr="00597B8D" w:rsidRDefault="00597B8D" w:rsidP="00597B8D">
            <w:pPr>
              <w:pStyle w:val="BodyCopy"/>
            </w:pPr>
            <w:r w:rsidRPr="00597B8D">
              <w:t>2024: 11 (Up to Nov 27/11/24)</w:t>
            </w:r>
          </w:p>
          <w:p w14:paraId="350444DD" w14:textId="77777777" w:rsidR="00597B8D" w:rsidRPr="00597B8D" w:rsidRDefault="00597B8D" w:rsidP="00597B8D">
            <w:pPr>
              <w:pStyle w:val="BodyCopy"/>
            </w:pPr>
          </w:p>
        </w:tc>
      </w:tr>
      <w:tr w:rsidR="00597B8D" w14:paraId="72D2BAA4" w14:textId="77777777" w:rsidTr="00DD1BD5">
        <w:trPr>
          <w:trHeight w:val="300"/>
        </w:trPr>
        <w:tc>
          <w:tcPr>
            <w:tcW w:w="1872" w:type="dxa"/>
          </w:tcPr>
          <w:p w14:paraId="5047779D" w14:textId="77777777" w:rsidR="00597B8D" w:rsidRPr="00597B8D" w:rsidRDefault="00597B8D" w:rsidP="00597B8D">
            <w:pPr>
              <w:pStyle w:val="BodyCopy"/>
            </w:pPr>
            <w:r w:rsidRPr="00597B8D">
              <w:t>Multiple System Atrophy</w:t>
            </w:r>
          </w:p>
        </w:tc>
        <w:tc>
          <w:tcPr>
            <w:tcW w:w="1872" w:type="dxa"/>
          </w:tcPr>
          <w:p w14:paraId="60C4B2A7" w14:textId="77777777" w:rsidR="00597B8D" w:rsidRPr="00597B8D" w:rsidRDefault="00597B8D" w:rsidP="00597B8D">
            <w:pPr>
              <w:pStyle w:val="BodyCopy"/>
            </w:pPr>
            <w:r w:rsidRPr="00597B8D">
              <w:t>G23.2</w:t>
            </w:r>
          </w:p>
        </w:tc>
        <w:tc>
          <w:tcPr>
            <w:tcW w:w="2460" w:type="dxa"/>
          </w:tcPr>
          <w:p w14:paraId="75068ABB" w14:textId="77777777" w:rsidR="00597B8D" w:rsidRPr="00597B8D" w:rsidRDefault="00597B8D" w:rsidP="00597B8D">
            <w:pPr>
              <w:pStyle w:val="BodyCopy"/>
            </w:pPr>
            <w:r w:rsidRPr="00597B8D">
              <w:t>2019:</w:t>
            </w:r>
          </w:p>
          <w:p w14:paraId="17050E83" w14:textId="77777777" w:rsidR="00597B8D" w:rsidRPr="00597B8D" w:rsidRDefault="00597B8D" w:rsidP="00597B8D">
            <w:pPr>
              <w:pStyle w:val="BodyCopy"/>
            </w:pPr>
            <w:r w:rsidRPr="00597B8D">
              <w:t>2020:</w:t>
            </w:r>
          </w:p>
          <w:p w14:paraId="380A84B1" w14:textId="77777777" w:rsidR="00597B8D" w:rsidRPr="00597B8D" w:rsidRDefault="00597B8D" w:rsidP="00597B8D">
            <w:pPr>
              <w:pStyle w:val="BodyCopy"/>
            </w:pPr>
            <w:r w:rsidRPr="00597B8D">
              <w:t>2021:</w:t>
            </w:r>
          </w:p>
          <w:p w14:paraId="0691509F" w14:textId="77777777" w:rsidR="00597B8D" w:rsidRPr="00597B8D" w:rsidRDefault="00597B8D" w:rsidP="00597B8D">
            <w:pPr>
              <w:pStyle w:val="BodyCopy"/>
            </w:pPr>
            <w:r w:rsidRPr="00597B8D">
              <w:t>2022:</w:t>
            </w:r>
          </w:p>
          <w:p w14:paraId="0FCEA0D5" w14:textId="77777777" w:rsidR="00597B8D" w:rsidRPr="00597B8D" w:rsidRDefault="00597B8D" w:rsidP="00597B8D">
            <w:pPr>
              <w:pStyle w:val="BodyCopy"/>
            </w:pPr>
            <w:r w:rsidRPr="00597B8D">
              <w:t>2023:</w:t>
            </w:r>
          </w:p>
          <w:p w14:paraId="04FCC048" w14:textId="77777777" w:rsidR="00597B8D" w:rsidRPr="00597B8D" w:rsidRDefault="00597B8D" w:rsidP="00597B8D">
            <w:pPr>
              <w:pStyle w:val="BodyCopy"/>
            </w:pPr>
            <w:r w:rsidRPr="00597B8D">
              <w:t>2024:</w:t>
            </w:r>
          </w:p>
          <w:p w14:paraId="6F6946C5" w14:textId="77777777" w:rsidR="00597B8D" w:rsidRPr="00597B8D" w:rsidRDefault="00597B8D" w:rsidP="00597B8D">
            <w:pPr>
              <w:pStyle w:val="BodyCopy"/>
            </w:pPr>
          </w:p>
        </w:tc>
        <w:tc>
          <w:tcPr>
            <w:tcW w:w="3297" w:type="dxa"/>
          </w:tcPr>
          <w:p w14:paraId="34CCF1BF" w14:textId="77777777" w:rsidR="00597B8D" w:rsidRPr="00597B8D" w:rsidRDefault="00597B8D" w:rsidP="00597B8D">
            <w:pPr>
              <w:pStyle w:val="BodyCopy"/>
            </w:pPr>
            <w:r w:rsidRPr="00597B8D">
              <w:t>2019: 16</w:t>
            </w:r>
          </w:p>
          <w:p w14:paraId="356301BB" w14:textId="77777777" w:rsidR="00597B8D" w:rsidRPr="00597B8D" w:rsidRDefault="00597B8D" w:rsidP="00597B8D">
            <w:pPr>
              <w:pStyle w:val="BodyCopy"/>
            </w:pPr>
            <w:r w:rsidRPr="00597B8D">
              <w:t>2020: 15</w:t>
            </w:r>
          </w:p>
          <w:p w14:paraId="32463881" w14:textId="325C0E32" w:rsidR="00597B8D" w:rsidRPr="00597B8D" w:rsidRDefault="00597B8D" w:rsidP="00597B8D">
            <w:pPr>
              <w:pStyle w:val="BodyCopy"/>
            </w:pPr>
            <w:r w:rsidRPr="00597B8D">
              <w:t xml:space="preserve">2021: </w:t>
            </w:r>
            <w:r>
              <w:t>1-5</w:t>
            </w:r>
          </w:p>
          <w:p w14:paraId="4AF270F9" w14:textId="77777777" w:rsidR="00597B8D" w:rsidRPr="00597B8D" w:rsidRDefault="00597B8D" w:rsidP="00597B8D">
            <w:pPr>
              <w:pStyle w:val="BodyCopy"/>
            </w:pPr>
            <w:r w:rsidRPr="00597B8D">
              <w:t>2022: 7</w:t>
            </w:r>
          </w:p>
          <w:p w14:paraId="51E4DE91" w14:textId="77777777" w:rsidR="00597B8D" w:rsidRPr="00597B8D" w:rsidRDefault="00597B8D" w:rsidP="00597B8D">
            <w:pPr>
              <w:pStyle w:val="BodyCopy"/>
            </w:pPr>
            <w:r w:rsidRPr="00597B8D">
              <w:t>2023: 7</w:t>
            </w:r>
          </w:p>
          <w:p w14:paraId="543B3FE9" w14:textId="14A6F821" w:rsidR="00597B8D" w:rsidRPr="00597B8D" w:rsidRDefault="00597B8D" w:rsidP="00597B8D">
            <w:pPr>
              <w:pStyle w:val="BodyCopy"/>
            </w:pPr>
            <w:r w:rsidRPr="00597B8D">
              <w:t xml:space="preserve">2024: </w:t>
            </w:r>
            <w:r>
              <w:t>1-5</w:t>
            </w:r>
            <w:bookmarkStart w:id="0" w:name="_GoBack"/>
            <w:bookmarkEnd w:id="0"/>
            <w:r w:rsidRPr="00597B8D">
              <w:t xml:space="preserve"> (Up to Nov 27/11/24)</w:t>
            </w:r>
          </w:p>
          <w:p w14:paraId="000FA251" w14:textId="77777777" w:rsidR="00597B8D" w:rsidRPr="00597B8D" w:rsidRDefault="00597B8D" w:rsidP="00597B8D">
            <w:pPr>
              <w:pStyle w:val="BodyCopy"/>
            </w:pPr>
          </w:p>
        </w:tc>
      </w:tr>
      <w:tr w:rsidR="00597B8D" w14:paraId="68126817" w14:textId="77777777" w:rsidTr="00DD1BD5">
        <w:trPr>
          <w:trHeight w:val="300"/>
        </w:trPr>
        <w:tc>
          <w:tcPr>
            <w:tcW w:w="1872" w:type="dxa"/>
          </w:tcPr>
          <w:p w14:paraId="194F0EC8" w14:textId="77777777" w:rsidR="00597B8D" w:rsidRPr="00597B8D" w:rsidRDefault="00597B8D" w:rsidP="00597B8D">
            <w:pPr>
              <w:pStyle w:val="BodyCopy"/>
            </w:pPr>
            <w:proofErr w:type="spellStart"/>
            <w:r w:rsidRPr="00597B8D">
              <w:t>Corticobasal</w:t>
            </w:r>
            <w:proofErr w:type="spellEnd"/>
            <w:r w:rsidRPr="00597B8D">
              <w:t xml:space="preserve"> Syndrome</w:t>
            </w:r>
          </w:p>
        </w:tc>
        <w:tc>
          <w:tcPr>
            <w:tcW w:w="1872" w:type="dxa"/>
          </w:tcPr>
          <w:p w14:paraId="08F6D0D2" w14:textId="77777777" w:rsidR="00597B8D" w:rsidRPr="00597B8D" w:rsidRDefault="00597B8D" w:rsidP="00597B8D">
            <w:pPr>
              <w:pStyle w:val="BodyCopy"/>
            </w:pPr>
            <w:r w:rsidRPr="00597B8D">
              <w:t>G31.8</w:t>
            </w:r>
          </w:p>
        </w:tc>
        <w:tc>
          <w:tcPr>
            <w:tcW w:w="2460" w:type="dxa"/>
          </w:tcPr>
          <w:p w14:paraId="7FB5CAAC" w14:textId="77777777" w:rsidR="00597B8D" w:rsidRPr="00597B8D" w:rsidRDefault="00597B8D" w:rsidP="00597B8D">
            <w:pPr>
              <w:pStyle w:val="BodyCopy"/>
            </w:pPr>
            <w:r w:rsidRPr="00597B8D">
              <w:t>2019:</w:t>
            </w:r>
          </w:p>
          <w:p w14:paraId="7C2D2623" w14:textId="77777777" w:rsidR="00597B8D" w:rsidRPr="00597B8D" w:rsidRDefault="00597B8D" w:rsidP="00597B8D">
            <w:pPr>
              <w:pStyle w:val="BodyCopy"/>
            </w:pPr>
            <w:r w:rsidRPr="00597B8D">
              <w:t>2020:</w:t>
            </w:r>
          </w:p>
          <w:p w14:paraId="6B1CFE14" w14:textId="77777777" w:rsidR="00597B8D" w:rsidRPr="00597B8D" w:rsidRDefault="00597B8D" w:rsidP="00597B8D">
            <w:pPr>
              <w:pStyle w:val="BodyCopy"/>
            </w:pPr>
            <w:r w:rsidRPr="00597B8D">
              <w:t>2021:</w:t>
            </w:r>
          </w:p>
          <w:p w14:paraId="524C3EB9" w14:textId="77777777" w:rsidR="00597B8D" w:rsidRPr="00597B8D" w:rsidRDefault="00597B8D" w:rsidP="00597B8D">
            <w:pPr>
              <w:pStyle w:val="BodyCopy"/>
            </w:pPr>
            <w:r w:rsidRPr="00597B8D">
              <w:lastRenderedPageBreak/>
              <w:t>2022:</w:t>
            </w:r>
          </w:p>
          <w:p w14:paraId="520F29FB" w14:textId="77777777" w:rsidR="00597B8D" w:rsidRPr="00597B8D" w:rsidRDefault="00597B8D" w:rsidP="00597B8D">
            <w:pPr>
              <w:pStyle w:val="BodyCopy"/>
            </w:pPr>
            <w:r w:rsidRPr="00597B8D">
              <w:t>2023:</w:t>
            </w:r>
          </w:p>
          <w:p w14:paraId="2ACA55CE" w14:textId="77777777" w:rsidR="00597B8D" w:rsidRPr="00597B8D" w:rsidRDefault="00597B8D" w:rsidP="00597B8D">
            <w:pPr>
              <w:pStyle w:val="BodyCopy"/>
            </w:pPr>
            <w:r w:rsidRPr="00597B8D">
              <w:t>2024:</w:t>
            </w:r>
          </w:p>
          <w:p w14:paraId="2F4A8E96" w14:textId="77777777" w:rsidR="00597B8D" w:rsidRPr="00597B8D" w:rsidRDefault="00597B8D" w:rsidP="00597B8D">
            <w:pPr>
              <w:pStyle w:val="BodyCopy"/>
            </w:pPr>
          </w:p>
        </w:tc>
        <w:tc>
          <w:tcPr>
            <w:tcW w:w="3297" w:type="dxa"/>
          </w:tcPr>
          <w:p w14:paraId="5A4CE6A9" w14:textId="77777777" w:rsidR="00597B8D" w:rsidRPr="00597B8D" w:rsidRDefault="00597B8D" w:rsidP="00597B8D">
            <w:pPr>
              <w:pStyle w:val="BodyCopy"/>
            </w:pPr>
            <w:r w:rsidRPr="00597B8D">
              <w:lastRenderedPageBreak/>
              <w:t>2019: 140</w:t>
            </w:r>
          </w:p>
          <w:p w14:paraId="5339B6E3" w14:textId="77777777" w:rsidR="00597B8D" w:rsidRPr="00597B8D" w:rsidRDefault="00597B8D" w:rsidP="00597B8D">
            <w:pPr>
              <w:pStyle w:val="BodyCopy"/>
            </w:pPr>
            <w:r w:rsidRPr="00597B8D">
              <w:t>2020: 95</w:t>
            </w:r>
          </w:p>
          <w:p w14:paraId="682A05F8" w14:textId="77777777" w:rsidR="00597B8D" w:rsidRPr="00597B8D" w:rsidRDefault="00597B8D" w:rsidP="00597B8D">
            <w:pPr>
              <w:pStyle w:val="BodyCopy"/>
            </w:pPr>
            <w:r w:rsidRPr="00597B8D">
              <w:t>2021: 123</w:t>
            </w:r>
          </w:p>
          <w:p w14:paraId="2F33DD53" w14:textId="77777777" w:rsidR="00597B8D" w:rsidRPr="00597B8D" w:rsidRDefault="00597B8D" w:rsidP="00597B8D">
            <w:pPr>
              <w:pStyle w:val="BodyCopy"/>
            </w:pPr>
            <w:r w:rsidRPr="00597B8D">
              <w:lastRenderedPageBreak/>
              <w:t>2022: 153</w:t>
            </w:r>
          </w:p>
          <w:p w14:paraId="73BE9802" w14:textId="77777777" w:rsidR="00597B8D" w:rsidRPr="00597B8D" w:rsidRDefault="00597B8D" w:rsidP="00597B8D">
            <w:pPr>
              <w:pStyle w:val="BodyCopy"/>
            </w:pPr>
            <w:r w:rsidRPr="00597B8D">
              <w:t>2023: 168</w:t>
            </w:r>
          </w:p>
          <w:p w14:paraId="71DA8347" w14:textId="77777777" w:rsidR="00597B8D" w:rsidRPr="00597B8D" w:rsidRDefault="00597B8D" w:rsidP="00597B8D">
            <w:pPr>
              <w:pStyle w:val="BodyCopy"/>
            </w:pPr>
            <w:r w:rsidRPr="00597B8D">
              <w:t>2024: 118 (Up to Nov 27/11/24)</w:t>
            </w:r>
          </w:p>
          <w:p w14:paraId="66EB330D" w14:textId="77777777" w:rsidR="00597B8D" w:rsidRPr="00597B8D" w:rsidRDefault="00597B8D" w:rsidP="00597B8D">
            <w:pPr>
              <w:pStyle w:val="BodyCopy"/>
            </w:pPr>
          </w:p>
        </w:tc>
      </w:tr>
      <w:tr w:rsidR="00597B8D" w14:paraId="12869B6C" w14:textId="77777777" w:rsidTr="00DD1BD5">
        <w:trPr>
          <w:trHeight w:val="1875"/>
        </w:trPr>
        <w:tc>
          <w:tcPr>
            <w:tcW w:w="1872" w:type="dxa"/>
          </w:tcPr>
          <w:p w14:paraId="2530298D" w14:textId="77777777" w:rsidR="00597B8D" w:rsidRPr="00597B8D" w:rsidRDefault="00597B8D" w:rsidP="00597B8D">
            <w:pPr>
              <w:pStyle w:val="BodyCopy"/>
            </w:pPr>
            <w:proofErr w:type="spellStart"/>
            <w:r w:rsidRPr="00597B8D">
              <w:lastRenderedPageBreak/>
              <w:t>Corticobasal</w:t>
            </w:r>
            <w:proofErr w:type="spellEnd"/>
            <w:r w:rsidRPr="00597B8D">
              <w:t xml:space="preserve"> Degeneration</w:t>
            </w:r>
          </w:p>
        </w:tc>
        <w:tc>
          <w:tcPr>
            <w:tcW w:w="1872" w:type="dxa"/>
          </w:tcPr>
          <w:p w14:paraId="43B6CEFA" w14:textId="77777777" w:rsidR="00597B8D" w:rsidRPr="00597B8D" w:rsidRDefault="00597B8D" w:rsidP="00597B8D">
            <w:pPr>
              <w:pStyle w:val="BodyCopy"/>
            </w:pPr>
            <w:r w:rsidRPr="00597B8D">
              <w:t>G31.8 (same code as above)</w:t>
            </w:r>
          </w:p>
        </w:tc>
        <w:tc>
          <w:tcPr>
            <w:tcW w:w="2460" w:type="dxa"/>
          </w:tcPr>
          <w:p w14:paraId="572F34F8" w14:textId="77777777" w:rsidR="00597B8D" w:rsidRPr="00597B8D" w:rsidRDefault="00597B8D" w:rsidP="00597B8D">
            <w:pPr>
              <w:pStyle w:val="BodyCopy"/>
            </w:pPr>
            <w:r w:rsidRPr="00597B8D">
              <w:t>2019:</w:t>
            </w:r>
          </w:p>
          <w:p w14:paraId="490FFA5D" w14:textId="77777777" w:rsidR="00597B8D" w:rsidRPr="00597B8D" w:rsidRDefault="00597B8D" w:rsidP="00597B8D">
            <w:pPr>
              <w:pStyle w:val="BodyCopy"/>
            </w:pPr>
            <w:r w:rsidRPr="00597B8D">
              <w:t>2020:</w:t>
            </w:r>
          </w:p>
          <w:p w14:paraId="0504ADB0" w14:textId="77777777" w:rsidR="00597B8D" w:rsidRPr="00597B8D" w:rsidRDefault="00597B8D" w:rsidP="00597B8D">
            <w:pPr>
              <w:pStyle w:val="BodyCopy"/>
            </w:pPr>
            <w:r w:rsidRPr="00597B8D">
              <w:t>2021:</w:t>
            </w:r>
          </w:p>
          <w:p w14:paraId="1F87DBA2" w14:textId="77777777" w:rsidR="00597B8D" w:rsidRPr="00597B8D" w:rsidRDefault="00597B8D" w:rsidP="00597B8D">
            <w:pPr>
              <w:pStyle w:val="BodyCopy"/>
            </w:pPr>
            <w:r w:rsidRPr="00597B8D">
              <w:t>2022:</w:t>
            </w:r>
          </w:p>
          <w:p w14:paraId="3A018D26" w14:textId="77777777" w:rsidR="00597B8D" w:rsidRPr="00597B8D" w:rsidRDefault="00597B8D" w:rsidP="00597B8D">
            <w:pPr>
              <w:pStyle w:val="BodyCopy"/>
            </w:pPr>
            <w:r w:rsidRPr="00597B8D">
              <w:t>2023:</w:t>
            </w:r>
          </w:p>
          <w:p w14:paraId="6890C697" w14:textId="77777777" w:rsidR="00597B8D" w:rsidRPr="00597B8D" w:rsidRDefault="00597B8D" w:rsidP="00597B8D">
            <w:pPr>
              <w:pStyle w:val="BodyCopy"/>
            </w:pPr>
            <w:r w:rsidRPr="00597B8D">
              <w:t>2024:</w:t>
            </w:r>
          </w:p>
          <w:p w14:paraId="151F7C41" w14:textId="77777777" w:rsidR="00597B8D" w:rsidRPr="00597B8D" w:rsidRDefault="00597B8D" w:rsidP="00597B8D">
            <w:pPr>
              <w:pStyle w:val="BodyCopy"/>
            </w:pPr>
          </w:p>
        </w:tc>
        <w:tc>
          <w:tcPr>
            <w:tcW w:w="3297" w:type="dxa"/>
          </w:tcPr>
          <w:p w14:paraId="73EE8494" w14:textId="77777777" w:rsidR="00597B8D" w:rsidRPr="00597B8D" w:rsidRDefault="00597B8D" w:rsidP="00597B8D">
            <w:pPr>
              <w:pStyle w:val="BodyCopy"/>
            </w:pPr>
            <w:r w:rsidRPr="00597B8D">
              <w:t>2019: 140</w:t>
            </w:r>
          </w:p>
          <w:p w14:paraId="20612019" w14:textId="77777777" w:rsidR="00597B8D" w:rsidRPr="00597B8D" w:rsidRDefault="00597B8D" w:rsidP="00597B8D">
            <w:pPr>
              <w:pStyle w:val="BodyCopy"/>
            </w:pPr>
            <w:r w:rsidRPr="00597B8D">
              <w:t>2020: 95</w:t>
            </w:r>
          </w:p>
          <w:p w14:paraId="49191C26" w14:textId="77777777" w:rsidR="00597B8D" w:rsidRPr="00597B8D" w:rsidRDefault="00597B8D" w:rsidP="00597B8D">
            <w:pPr>
              <w:pStyle w:val="BodyCopy"/>
            </w:pPr>
            <w:r w:rsidRPr="00597B8D">
              <w:t>2021: 123</w:t>
            </w:r>
          </w:p>
          <w:p w14:paraId="6359B911" w14:textId="77777777" w:rsidR="00597B8D" w:rsidRPr="00597B8D" w:rsidRDefault="00597B8D" w:rsidP="00597B8D">
            <w:pPr>
              <w:pStyle w:val="BodyCopy"/>
            </w:pPr>
            <w:r w:rsidRPr="00597B8D">
              <w:t>2022: 153</w:t>
            </w:r>
          </w:p>
          <w:p w14:paraId="041DA429" w14:textId="77777777" w:rsidR="00597B8D" w:rsidRPr="00597B8D" w:rsidRDefault="00597B8D" w:rsidP="00597B8D">
            <w:pPr>
              <w:pStyle w:val="BodyCopy"/>
            </w:pPr>
            <w:r w:rsidRPr="00597B8D">
              <w:t>2023: 168</w:t>
            </w:r>
          </w:p>
          <w:p w14:paraId="002F6A5A" w14:textId="77777777" w:rsidR="00597B8D" w:rsidRPr="00597B8D" w:rsidRDefault="00597B8D" w:rsidP="00597B8D">
            <w:pPr>
              <w:pStyle w:val="BodyCopy"/>
            </w:pPr>
            <w:r w:rsidRPr="00597B8D">
              <w:t>2024: 118 (Up to Nov 27/11/24)</w:t>
            </w:r>
          </w:p>
          <w:p w14:paraId="360FADAD" w14:textId="77777777" w:rsidR="00597B8D" w:rsidRPr="00597B8D" w:rsidRDefault="00597B8D" w:rsidP="00597B8D">
            <w:pPr>
              <w:pStyle w:val="BodyCopy"/>
            </w:pPr>
          </w:p>
        </w:tc>
      </w:tr>
    </w:tbl>
    <w:p w14:paraId="007AFA15" w14:textId="77777777" w:rsidR="00597B8D" w:rsidRDefault="00597B8D" w:rsidP="00597B8D">
      <w:pPr>
        <w:pStyle w:val="Header2"/>
        <w:numPr>
          <w:ilvl w:val="0"/>
          <w:numId w:val="0"/>
        </w:numPr>
        <w:ind w:left="720" w:hanging="720"/>
      </w:pP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97B8D"/>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434F1-BDD4-4D46-A13F-C4B0D67B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2024-12-04T12:26:00Z</dcterms:created>
  <dcterms:modified xsi:type="dcterms:W3CDTF">2024-12-04T12:26:00Z</dcterms:modified>
</cp:coreProperties>
</file>